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820"/>
        <w:spacing w:after="0" w:line="250"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South Cone Investments Limited</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Partnership</w:t>
        </w:r>
      </w:hyperlink>
    </w:p>
    <w:p>
      <w:pPr>
        <w:spacing w:after="0" w:line="28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16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r>
      <w:tr>
        <w:trPr>
          <w:trHeight w:val="267"/>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SANTIAGO</w:t>
            </w:r>
          </w:p>
        </w:tc>
        <w:tc>
          <w:tcPr>
            <w:tcW w:w="12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F3</w:t>
            </w:r>
          </w:p>
        </w:tc>
        <w:tc>
          <w:tcPr>
            <w:tcW w:w="13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7550000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160"/>
              <w:spacing w:after="0"/>
              <w:rPr>
                <w:sz w:val="20"/>
                <w:szCs w:val="20"/>
                <w:color w:val="auto"/>
              </w:rPr>
            </w:pPr>
            <w:r>
              <w:rPr>
                <w:rFonts w:ascii="Arial" w:cs="Arial" w:eastAsia="Arial" w:hAnsi="Arial"/>
                <w:sz w:val="13"/>
                <w:szCs w:val="13"/>
                <w:color w:val="auto"/>
              </w:rPr>
              <w:t>(State)</w:t>
            </w:r>
          </w:p>
        </w:tc>
        <w:tc>
          <w:tcPr>
            <w:tcW w:w="130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Rani Therapeutics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RANI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9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04/10/2023</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8" w:lineRule="exact"/>
        <w:rPr>
          <w:sz w:val="20"/>
          <w:szCs w:val="20"/>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60" w:type="dxa"/>
            <w:vAlign w:val="bottom"/>
            <w:gridSpan w:val="4"/>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04/10/2023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1,923</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gridSpan w:val="3"/>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5.0672</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6,827,865</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4"/>
            <w:vMerge w:val="continue"/>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04/11/2023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1,765</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gridSpan w:val="3"/>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5.5784</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6,829,630</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4"/>
            <w:vMerge w:val="continue"/>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60" w:type="dxa"/>
            <w:vAlign w:val="bottom"/>
            <w:gridSpan w:val="19"/>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5"/>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7"/>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 Partnership</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F3</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7550000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South Lake One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6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SANTIAGO</w:t>
            </w:r>
          </w:p>
        </w:tc>
        <w:tc>
          <w:tcPr>
            <w:tcW w:w="13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F3</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7550000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-1185545</wp:posOffset>
            </wp:positionV>
            <wp:extent cx="2809240" cy="1264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26492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$5.065 to $5.10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$5.57 to $5.66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(2)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Investments Limited Partnership directly owns 100% of the issued and outstanding membership interest of South Lake One LLC.</w:t>
      </w:r>
    </w:p>
    <w:p>
      <w:pPr>
        <w:sectPr>
          <w:pgSz w:w="11900" w:h="16838" w:orient="portrait"/>
          <w:cols w:equalWidth="0" w:num="1">
            <w:col w:w="10780"/>
          </w:cols>
          <w:pgMar w:left="500" w:top="125" w:right="6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8680" w:space="60"/>
            <w:col w:w="2040"/>
          </w:cols>
          <w:pgMar w:left="500" w:top="125" w:right="6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25"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5"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2023-04-12T11:24:16Z</dcterms:created>
  <dcterms:modified xsi:type="dcterms:W3CDTF">2023-04-12T11:24:16Z</dcterms:modified>
</cp:coreProperties>
</file>