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November 7, 2025</w:t>
      </w:r>
    </w:p>
    <w:p>
      <w:pPr>
        <w:spacing w:after="0" w:line="16"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878840</wp:posOffset>
            </wp:positionH>
            <wp:positionV relativeFrom="paragraph">
              <wp:posOffset>53340</wp:posOffset>
            </wp:positionV>
            <wp:extent cx="54171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86995</wp:posOffset>
            </wp:positionV>
            <wp:extent cx="54171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pacing w:after="0" w:line="1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89535</wp:posOffset>
            </wp:positionV>
            <wp:extent cx="11353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4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90170</wp:posOffset>
            </wp:positionV>
            <wp:extent cx="11353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4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RANI THERAPEUTICS HOLDINGS, INC.</w:t>
      </w:r>
    </w:p>
    <w:p>
      <w:pPr>
        <w:spacing w:after="0" w:line="39" w:lineRule="exact"/>
        <w:rPr>
          <w:sz w:val="24"/>
          <w:szCs w:val="24"/>
          <w:color w:val="auto"/>
        </w:rPr>
      </w:pPr>
    </w:p>
    <w:tbl>
      <w:tblPr>
        <w:tblLayout w:type="fixed"/>
        <w:tblInd w:w="2800" w:type="dxa"/>
        <w:tblCellMar>
          <w:top w:w="0" w:type="dxa"/>
          <w:left w:w="0" w:type="dxa"/>
          <w:bottom w:w="0" w:type="dxa"/>
          <w:right w:w="0" w:type="dxa"/>
        </w:tblCellMar>
      </w:tblPr>
      <w:tr>
        <w:trPr>
          <w:trHeight w:val="166"/>
        </w:trPr>
        <w:tc>
          <w:tcPr>
            <w:tcW w:w="4360" w:type="dxa"/>
            <w:vAlign w:val="bottom"/>
            <w:gridSpan w:val="3"/>
          </w:tcPr>
          <w:p>
            <w:pPr>
              <w:ind w:left="1440"/>
              <w:spacing w:after="0"/>
              <w:rPr>
                <w:sz w:val="20"/>
                <w:szCs w:val="20"/>
                <w:color w:val="auto"/>
              </w:rPr>
            </w:pPr>
            <w:r>
              <w:rPr>
                <w:rFonts w:ascii="Times New Roman" w:cs="Times New Roman" w:eastAsia="Times New Roman" w:hAnsi="Times New Roman"/>
                <w:sz w:val="13"/>
                <w:szCs w:val="13"/>
                <w:b w:val="1"/>
                <w:bCs w:val="1"/>
                <w:color w:val="auto"/>
                <w:w w:val="99"/>
              </w:rPr>
              <w:t>(Exact name of Registrant as specified in its charter)</w:t>
            </w:r>
          </w:p>
        </w:tc>
        <w:tc>
          <w:tcPr>
            <w:tcW w:w="1240" w:type="dxa"/>
            <w:vAlign w:val="bottom"/>
          </w:tcPr>
          <w:p>
            <w:pPr>
              <w:spacing w:after="0"/>
              <w:rPr>
                <w:sz w:val="14"/>
                <w:szCs w:val="14"/>
                <w:color w:val="auto"/>
              </w:rPr>
            </w:pPr>
          </w:p>
        </w:tc>
      </w:tr>
      <w:tr>
        <w:trPr>
          <w:trHeight w:val="134"/>
        </w:trPr>
        <w:tc>
          <w:tcPr>
            <w:tcW w:w="196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01"/>
        </w:trPr>
        <w:tc>
          <w:tcPr>
            <w:tcW w:w="4360" w:type="dxa"/>
            <w:vAlign w:val="bottom"/>
            <w:gridSpan w:val="3"/>
          </w:tcPr>
          <w:p>
            <w:pPr>
              <w:jc w:val="center"/>
              <w:ind w:right="290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240" w:type="dxa"/>
            <w:vAlign w:val="bottom"/>
          </w:tcPr>
          <w:p>
            <w:pPr>
              <w:jc w:val="center"/>
              <w:ind w:left="62"/>
              <w:spacing w:after="0"/>
              <w:rPr>
                <w:sz w:val="20"/>
                <w:szCs w:val="20"/>
                <w:color w:val="auto"/>
              </w:rPr>
            </w:pPr>
            <w:r>
              <w:rPr>
                <w:rFonts w:ascii="Times New Roman" w:cs="Times New Roman" w:eastAsia="Times New Roman" w:hAnsi="Times New Roman"/>
                <w:sz w:val="13"/>
                <w:szCs w:val="13"/>
                <w:b w:val="1"/>
                <w:bCs w:val="1"/>
                <w:color w:val="auto"/>
                <w:w w:val="95"/>
              </w:rPr>
              <w:t>86-3114789</w:t>
            </w:r>
          </w:p>
        </w:tc>
      </w:tr>
      <w:tr>
        <w:trPr>
          <w:trHeight w:val="115"/>
        </w:trPr>
        <w:tc>
          <w:tcPr>
            <w:tcW w:w="4360" w:type="dxa"/>
            <w:vAlign w:val="bottom"/>
            <w:gridSpan w:val="3"/>
          </w:tcPr>
          <w:p>
            <w:pPr>
              <w:jc w:val="center"/>
              <w:ind w:right="2900"/>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240" w:type="dxa"/>
            <w:vAlign w:val="bottom"/>
          </w:tcPr>
          <w:p>
            <w:pPr>
              <w:jc w:val="center"/>
              <w:ind w:left="62"/>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7"/>
        </w:trPr>
        <w:tc>
          <w:tcPr>
            <w:tcW w:w="4360" w:type="dxa"/>
            <w:vAlign w:val="bottom"/>
            <w:gridSpan w:val="3"/>
          </w:tcPr>
          <w:p>
            <w:pPr>
              <w:jc w:val="center"/>
              <w:ind w:right="290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240" w:type="dxa"/>
            <w:vAlign w:val="bottom"/>
          </w:tcPr>
          <w:p>
            <w:pPr>
              <w:jc w:val="center"/>
              <w:ind w:left="62"/>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3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97790</wp:posOffset>
            </wp:positionV>
            <wp:extent cx="11353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7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Talat Imran</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Rani Therapeutics Holdings, Inc.</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2051 Ringwood Avenue</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Jose, CA 95131</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(408) 457-3700</w:t>
      </w:r>
    </w:p>
    <w:p>
      <w:pPr>
        <w:spacing w:after="0" w:line="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82550</wp:posOffset>
            </wp:positionV>
            <wp:extent cx="11353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4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i w:val="1"/>
          <w:iCs w:val="1"/>
          <w:color w:val="auto"/>
        </w:rPr>
        <w:t>Copy to:</w:t>
      </w:r>
    </w:p>
    <w:p>
      <w:pPr>
        <w:spacing w:after="0" w:line="4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Josh Seidenfeld</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John T. McKenna</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Cooley LLP</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3175 Hanover Street</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Palo Alto, California 94304</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93345</wp:posOffset>
            </wp:positionV>
            <wp:extent cx="11353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67"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23" w:lineRule="exact"/>
        <w:rPr>
          <w:sz w:val="24"/>
          <w:szCs w:val="24"/>
          <w:color w:val="auto"/>
        </w:rPr>
      </w:pPr>
    </w:p>
    <w:p>
      <w:pPr>
        <w:ind w:left="172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1380" w:right="379" w:firstLine="341"/>
        <w:spacing w:after="0" w:line="16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1380" w:right="459" w:firstLine="341"/>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8" w:lineRule="exact"/>
        <w:rPr>
          <w:sz w:val="24"/>
          <w:szCs w:val="24"/>
          <w:color w:val="auto"/>
        </w:rPr>
      </w:pPr>
    </w:p>
    <w:p>
      <w:pPr>
        <w:ind w:left="1380" w:right="379" w:firstLine="341"/>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8" w:lineRule="exact"/>
        <w:rPr>
          <w:sz w:val="24"/>
          <w:szCs w:val="24"/>
          <w:color w:val="auto"/>
        </w:rPr>
      </w:pPr>
    </w:p>
    <w:p>
      <w:pPr>
        <w:ind w:left="1380" w:right="359" w:firstLine="341"/>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1380" w:right="379" w:firstLine="341"/>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1380" w:right="319" w:firstLine="341"/>
        <w:spacing w:after="0" w:line="26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380" w:type="dxa"/>
        <w:tblCellMar>
          <w:top w:w="0" w:type="dxa"/>
          <w:left w:w="0" w:type="dxa"/>
          <w:bottom w:w="0" w:type="dxa"/>
          <w:right w:w="0" w:type="dxa"/>
        </w:tblCellMar>
      </w:tblPr>
      <w:tr>
        <w:trPr>
          <w:trHeight w:val="199"/>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7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17" w:lineRule="exact"/>
        <w:rPr>
          <w:sz w:val="24"/>
          <w:szCs w:val="24"/>
          <w:color w:val="auto"/>
        </w:rPr>
      </w:pPr>
    </w:p>
    <w:p>
      <w:pPr>
        <w:ind w:left="1380" w:right="539"/>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84455</wp:posOffset>
            </wp:positionV>
            <wp:extent cx="11353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53" w:lineRule="exact"/>
        <w:rPr>
          <w:sz w:val="24"/>
          <w:szCs w:val="24"/>
          <w:color w:val="auto"/>
        </w:rPr>
      </w:pPr>
    </w:p>
    <w:p>
      <w:pPr>
        <w:ind w:left="1380" w:right="259"/>
        <w:spacing w:after="0" w:line="260"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878840</wp:posOffset>
            </wp:positionH>
            <wp:positionV relativeFrom="paragraph">
              <wp:posOffset>61595</wp:posOffset>
            </wp:positionV>
            <wp:extent cx="541718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94615</wp:posOffset>
            </wp:positionV>
            <wp:extent cx="54171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3" w:lineRule="exact"/>
        <w:rPr>
          <w:sz w:val="20"/>
          <w:szCs w:val="20"/>
          <w:color w:val="auto"/>
        </w:rPr>
      </w:pPr>
    </w:p>
    <w:tbl>
      <w:tblPr>
        <w:tblLayout w:type="fixed"/>
        <w:tblInd w:w="1565" w:type="dxa"/>
        <w:tblCellMar>
          <w:top w:w="0" w:type="dxa"/>
          <w:left w:w="0" w:type="dxa"/>
          <w:bottom w:w="0" w:type="dxa"/>
          <w:right w:w="0" w:type="dxa"/>
        </w:tblCellMar>
      </w:tblPr>
      <w:tr>
        <w:trPr>
          <w:trHeight w:val="620"/>
        </w:trPr>
        <w:tc>
          <w:tcPr>
            <w:tcW w:w="115" w:type="dxa"/>
            <w:vAlign w:val="bottom"/>
            <w:textDirection w:val="btLr"/>
          </w:tcPr>
          <w:p>
            <w:pPr>
              <w:spacing w:after="0"/>
              <w:rPr>
                <w:sz w:val="20"/>
                <w:szCs w:val="20"/>
                <w:color w:val="auto"/>
              </w:rPr>
            </w:pPr>
            <w:r>
              <w:rPr>
                <w:rFonts w:ascii="Arial" w:cs="Arial" w:eastAsia="Arial" w:hAnsi="Arial"/>
                <w:sz w:val="10"/>
                <w:szCs w:val="10"/>
                <w:b w:val="1"/>
                <w:bCs w:val="1"/>
                <w:color w:val="FF4338"/>
              </w:rPr>
              <w:t>offer to sell</w:t>
            </w:r>
          </w:p>
        </w:tc>
      </w:tr>
    </w:tbl>
    <w:p>
      <w:pPr>
        <w:spacing w:after="0" w:line="1" w:lineRule="exact"/>
        <w:rPr>
          <w:sz w:val="20"/>
          <w:szCs w:val="20"/>
          <w:color w:val="auto"/>
        </w:rPr>
      </w:pPr>
    </w:p>
    <w:tbl>
      <w:tblPr>
        <w:tblLayout w:type="fixed"/>
        <w:tblInd w:w="1374" w:type="dxa"/>
        <w:tblCellMar>
          <w:top w:w="0" w:type="dxa"/>
          <w:left w:w="0" w:type="dxa"/>
          <w:bottom w:w="0" w:type="dxa"/>
          <w:right w:w="0" w:type="dxa"/>
        </w:tblCellMar>
      </w:tblPr>
      <w:tr>
        <w:trPr>
          <w:trHeight w:val="20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FF4338"/>
              </w:rPr>
              <w:t>the</w:t>
            </w:r>
          </w:p>
        </w:tc>
      </w:tr>
    </w:tbl>
    <w:p>
      <w:pPr>
        <w:spacing w:after="0" w:line="40" w:lineRule="exact"/>
        <w:rPr>
          <w:sz w:val="20"/>
          <w:szCs w:val="20"/>
          <w:color w:val="auto"/>
        </w:rPr>
      </w:pPr>
    </w:p>
    <w:tbl>
      <w:tblPr>
        <w:tblLayout w:type="fixed"/>
        <w:tblInd w:w="1302" w:type="dxa"/>
        <w:tblCellMar>
          <w:top w:w="0" w:type="dxa"/>
          <w:left w:w="0" w:type="dxa"/>
          <w:bottom w:w="0" w:type="dxa"/>
          <w:right w:w="0" w:type="dxa"/>
        </w:tblCellMar>
      </w:tblPr>
      <w:tr>
        <w:trPr>
          <w:trHeight w:val="8160"/>
        </w:trPr>
        <w:tc>
          <w:tcPr>
            <w:tcW w:w="534" w:type="dxa"/>
            <w:vAlign w:val="bottom"/>
            <w:textDirection w:val="btLr"/>
          </w:tcPr>
          <w:p>
            <w:pPr>
              <w:spacing w:after="0" w:line="286" w:lineRule="auto"/>
              <w:rPr>
                <w:sz w:val="20"/>
                <w:szCs w:val="20"/>
                <w:color w:val="auto"/>
              </w:rPr>
            </w:pPr>
            <w:r>
              <w:rPr>
                <w:rFonts w:ascii="Arial" w:cs="Arial" w:eastAsia="Arial" w:hAnsi="Arial"/>
                <w:sz w:val="13"/>
                <w:szCs w:val="13"/>
                <w:b w:val="1"/>
                <w:bCs w:val="1"/>
                <w:color w:val="FF4338"/>
              </w:rPr>
              <w:t>these securities nor does it seek an offer to buy these securities in any jurisdiction where the offer or sale is not permitted. registration statement filed with the Securities and Exchange Commission is effective. This preliminary prospectus is not an The information in this preliminary prospectus is not complete and may be changed. These securities may not be sold until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FF4338"/>
        </w:rPr>
        <w:t>Subject to Completion, Dated November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-588645</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4338"/>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133985</wp:posOffset>
            </wp:positionV>
            <wp:extent cx="909320" cy="451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09320"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Up to 42,633,337 shares of Class A Common Stock</w:t>
      </w:r>
    </w:p>
    <w:p>
      <w:pPr>
        <w:spacing w:after="0" w:line="17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Up to 125,000,004 Shares of Class A Common Stock Issuable Upon Exercise of Common Stock Warrants</w:t>
      </w:r>
    </w:p>
    <w:p>
      <w:pPr>
        <w:spacing w:after="0" w:line="17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Up to 82,366,667 Shares of Class A Common Stock Issuable Upon Exercise of Pre-Funded Warrants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This prospectus relates to the proposed resale from time to time by the selling stockholders of:</w:t>
      </w:r>
    </w:p>
    <w:p>
      <w:pPr>
        <w:spacing w:after="0" w:line="100" w:lineRule="exact"/>
        <w:rPr>
          <w:sz w:val="20"/>
          <w:szCs w:val="20"/>
          <w:color w:val="auto"/>
        </w:rPr>
      </w:pPr>
    </w:p>
    <w:p>
      <w:pPr>
        <w:ind w:left="640" w:hanging="277"/>
        <w:spacing w:after="0"/>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42,633,337 shares of our Class A common stock;</w:t>
      </w:r>
    </w:p>
    <w:p>
      <w:pPr>
        <w:spacing w:after="0" w:line="100" w:lineRule="exact"/>
        <w:rPr>
          <w:rFonts w:ascii="Times New Roman" w:cs="Times New Roman" w:eastAsia="Times New Roman" w:hAnsi="Times New Roman"/>
          <w:sz w:val="14"/>
          <w:szCs w:val="14"/>
          <w:color w:val="auto"/>
        </w:rPr>
      </w:pPr>
    </w:p>
    <w:p>
      <w:pPr>
        <w:ind w:left="640" w:right="1219" w:hanging="277"/>
        <w:spacing w:after="0" w:line="280"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125,000,004 shares of our Class A common stock issuable upon the exercise of outstanding common stock warrants; and</w:t>
      </w:r>
    </w:p>
    <w:p>
      <w:pPr>
        <w:spacing w:after="0" w:line="53" w:lineRule="exact"/>
        <w:rPr>
          <w:rFonts w:ascii="Times New Roman" w:cs="Times New Roman" w:eastAsia="Times New Roman" w:hAnsi="Times New Roman"/>
          <w:sz w:val="14"/>
          <w:szCs w:val="14"/>
          <w:color w:val="auto"/>
        </w:rPr>
      </w:pPr>
    </w:p>
    <w:p>
      <w:pPr>
        <w:ind w:left="640" w:hanging="277"/>
        <w:spacing w:after="0"/>
        <w:tabs>
          <w:tab w:leader="none" w:pos="6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82,366,667 shares of our Class A common stock issuable upon the exercise of outstanding pre-funded warrants.</w:t>
      </w:r>
    </w:p>
    <w:p>
      <w:pPr>
        <w:spacing w:after="0" w:line="185" w:lineRule="exact"/>
        <w:rPr>
          <w:sz w:val="20"/>
          <w:szCs w:val="20"/>
          <w:color w:val="auto"/>
        </w:rPr>
      </w:pPr>
    </w:p>
    <w:p>
      <w:pPr>
        <w:ind w:right="1019" w:firstLine="288"/>
        <w:spacing w:after="0" w:line="280" w:lineRule="auto"/>
        <w:rPr>
          <w:sz w:val="20"/>
          <w:szCs w:val="20"/>
          <w:color w:val="auto"/>
        </w:rPr>
      </w:pPr>
      <w:r>
        <w:rPr>
          <w:rFonts w:ascii="Times New Roman" w:cs="Times New Roman" w:eastAsia="Times New Roman" w:hAnsi="Times New Roman"/>
          <w:sz w:val="14"/>
          <w:szCs w:val="14"/>
          <w:color w:val="auto"/>
        </w:rPr>
        <w:t>The selling stockholders purchased the shares of Class A common stock, common stock warrants and pre-funded warrants from us pursuant to a securities purchase agreement, dated October 16, 2025.</w:t>
      </w:r>
    </w:p>
    <w:p>
      <w:pPr>
        <w:spacing w:after="0" w:line="126" w:lineRule="exact"/>
        <w:rPr>
          <w:sz w:val="20"/>
          <w:szCs w:val="20"/>
          <w:color w:val="auto"/>
        </w:rPr>
      </w:pPr>
    </w:p>
    <w:p>
      <w:pPr>
        <w:jc w:val="both"/>
        <w:ind w:right="1079" w:firstLine="288"/>
        <w:spacing w:after="0" w:line="265" w:lineRule="auto"/>
        <w:rPr>
          <w:sz w:val="20"/>
          <w:szCs w:val="20"/>
          <w:color w:val="auto"/>
        </w:rPr>
      </w:pPr>
      <w:r>
        <w:rPr>
          <w:rFonts w:ascii="Times New Roman" w:cs="Times New Roman" w:eastAsia="Times New Roman" w:hAnsi="Times New Roman"/>
          <w:sz w:val="14"/>
          <w:szCs w:val="14"/>
          <w:color w:val="auto"/>
        </w:rPr>
        <w:t>We are not selling any shares of Class A common stock pursuant to this prospectus, and we will not receive any proceeds from the sale of shares of Class A common stock offered by this prospectus by the selling stockholders, except with respect to amounts received by us upon exercise of the common stock warrants and pre-funded warrants.</w:t>
      </w:r>
    </w:p>
    <w:p>
      <w:pPr>
        <w:spacing w:after="0" w:line="136" w:lineRule="exact"/>
        <w:rPr>
          <w:sz w:val="20"/>
          <w:szCs w:val="20"/>
          <w:color w:val="auto"/>
        </w:rPr>
      </w:pPr>
    </w:p>
    <w:p>
      <w:pPr>
        <w:ind w:right="919" w:firstLine="288"/>
        <w:spacing w:after="0" w:line="255" w:lineRule="auto"/>
        <w:rPr>
          <w:sz w:val="20"/>
          <w:szCs w:val="20"/>
          <w:color w:val="auto"/>
        </w:rPr>
      </w:pPr>
      <w:r>
        <w:rPr>
          <w:rFonts w:ascii="Times New Roman" w:cs="Times New Roman" w:eastAsia="Times New Roman" w:hAnsi="Times New Roman"/>
          <w:sz w:val="14"/>
          <w:szCs w:val="14"/>
          <w:color w:val="auto"/>
        </w:rPr>
        <w:t>The selling stockholders may offer and sell or otherwise dispose of the shares of our Class A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its shares of our Class A common stock.</w:t>
      </w:r>
    </w:p>
    <w:p>
      <w:pPr>
        <w:spacing w:after="0" w:line="145" w:lineRule="exact"/>
        <w:rPr>
          <w:sz w:val="20"/>
          <w:szCs w:val="20"/>
          <w:color w:val="auto"/>
        </w:rPr>
      </w:pPr>
    </w:p>
    <w:p>
      <w:pPr>
        <w:ind w:right="1159" w:firstLine="288"/>
        <w:spacing w:after="0" w:line="280" w:lineRule="auto"/>
        <w:rPr>
          <w:sz w:val="20"/>
          <w:szCs w:val="20"/>
          <w:color w:val="auto"/>
        </w:rPr>
      </w:pPr>
      <w:r>
        <w:rPr>
          <w:rFonts w:ascii="Times New Roman" w:cs="Times New Roman" w:eastAsia="Times New Roman" w:hAnsi="Times New Roman"/>
          <w:sz w:val="14"/>
          <w:szCs w:val="14"/>
          <w:color w:val="auto"/>
        </w:rPr>
        <w:t>Our Class A common stock is listed on The Nasdaq Global Market under the trading symbol “RANI.” On November 6, 2025, the last reported sale price of the Class A common stock was $2.27 per share.</w:t>
      </w:r>
    </w:p>
    <w:p>
      <w:pPr>
        <w:spacing w:after="0" w:line="116" w:lineRule="exact"/>
        <w:rPr>
          <w:sz w:val="20"/>
          <w:szCs w:val="20"/>
          <w:color w:val="auto"/>
        </w:rPr>
      </w:pPr>
    </w:p>
    <w:p>
      <w:pPr>
        <w:ind w:right="1119" w:firstLine="288"/>
        <w:spacing w:after="0" w:line="241" w:lineRule="auto"/>
        <w:rPr>
          <w:sz w:val="20"/>
          <w:szCs w:val="20"/>
          <w:color w:val="auto"/>
        </w:rPr>
      </w:pPr>
      <w:r>
        <w:rPr>
          <w:rFonts w:ascii="Times New Roman" w:cs="Times New Roman" w:eastAsia="Times New Roman" w:hAnsi="Times New Roman"/>
          <w:sz w:val="17"/>
          <w:szCs w:val="17"/>
          <w:b w:val="1"/>
          <w:bCs w:val="1"/>
          <w:color w:val="auto"/>
        </w:rPr>
        <w:t>Investing in our Class A common stock involves a high degree of risk. You should review carefully the risks and uncertainties described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4 of this prospectus, and under similar headings in the other documents that are incorporated by reference into this prospectus.</w:t>
      </w:r>
    </w:p>
    <w:p>
      <w:pPr>
        <w:spacing w:after="0" w:line="143" w:lineRule="exact"/>
        <w:rPr>
          <w:sz w:val="20"/>
          <w:szCs w:val="20"/>
          <w:color w:val="auto"/>
        </w:rPr>
      </w:pPr>
    </w:p>
    <w:p>
      <w:pPr>
        <w:ind w:right="999" w:firstLine="288"/>
        <w:spacing w:after="0" w:line="26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2025.</w:t>
      </w:r>
    </w:p>
    <w:p>
      <w:pPr>
        <w:sectPr>
          <w:pgSz w:w="11900" w:h="16838" w:orient="portrait"/>
          <w:cols w:equalWidth="0" w:num="2">
            <w:col w:w="1840" w:space="200"/>
            <w:col w:w="8119"/>
          </w:cols>
          <w:pgMar w:left="300" w:top="38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1740" w:type="dxa"/>
            <w:vAlign w:val="bottom"/>
            <w:tcBorders>
              <w:bottom w:val="single" w:sz="8" w:color="0000EE"/>
            </w:tcBorders>
            <w:gridSpan w:val="8"/>
          </w:tcPr>
          <w:p>
            <w:pPr>
              <w:spacing w:after="0" w:line="151" w:lineRule="exact"/>
              <w:rPr>
                <w:sz w:val="20"/>
                <w:szCs w:val="20"/>
                <w:color w:val="auto"/>
              </w:rPr>
            </w:pPr>
            <w:r>
              <w:rPr>
                <w:rFonts w:ascii="Times New Roman" w:cs="Times New Roman" w:eastAsia="Times New Roman" w:hAnsi="Times New Roman"/>
                <w:sz w:val="14"/>
                <w:szCs w:val="14"/>
                <w:color w:val="0000EE"/>
                <w:w w:val="99"/>
              </w:rPr>
              <w:t>ABOUT THIS PROSPECTUS</w:t>
            </w:r>
          </w:p>
        </w:tc>
        <w:tc>
          <w:tcPr>
            <w:tcW w:w="4460" w:type="dxa"/>
            <w:vAlign w:val="bottom"/>
            <w:gridSpan w:val="5"/>
          </w:tcPr>
          <w:p>
            <w:pPr>
              <w:spacing w:after="0"/>
              <w:rPr>
                <w:sz w:val="13"/>
                <w:szCs w:val="13"/>
                <w:color w:val="auto"/>
              </w:rPr>
            </w:pPr>
          </w:p>
        </w:tc>
        <w:tc>
          <w:tcPr>
            <w:tcW w:w="22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ii</w:t>
            </w:r>
          </w:p>
        </w:tc>
      </w:tr>
      <w:tr>
        <w:trPr>
          <w:trHeight w:val="147"/>
        </w:trPr>
        <w:tc>
          <w:tcPr>
            <w:tcW w:w="162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4580" w:type="dxa"/>
            <w:vAlign w:val="bottom"/>
            <w:gridSpan w:val="7"/>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620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7"/>
        </w:trPr>
        <w:tc>
          <w:tcPr>
            <w:tcW w:w="620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4120" w:type="dxa"/>
            <w:vAlign w:val="bottom"/>
            <w:tcBorders>
              <w:top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2080" w:type="dxa"/>
            <w:vAlign w:val="bottom"/>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7"/>
        </w:trPr>
        <w:tc>
          <w:tcPr>
            <w:tcW w:w="222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3980" w:type="dxa"/>
            <w:vAlign w:val="bottom"/>
            <w:gridSpan w:val="4"/>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147"/>
        </w:trPr>
        <w:tc>
          <w:tcPr>
            <w:tcW w:w="172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8"/>
              </w:rPr>
              <w:t>SELLING STOCKHOLDERS</w:t>
            </w:r>
          </w:p>
        </w:tc>
        <w:tc>
          <w:tcPr>
            <w:tcW w:w="4480" w:type="dxa"/>
            <w:vAlign w:val="bottom"/>
            <w:gridSpan w:val="6"/>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7"/>
        </w:trPr>
        <w:tc>
          <w:tcPr>
            <w:tcW w:w="620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r>
      <w:tr>
        <w:trPr>
          <w:trHeight w:val="147"/>
        </w:trPr>
        <w:tc>
          <w:tcPr>
            <w:tcW w:w="1580" w:type="dxa"/>
            <w:vAlign w:val="bottom"/>
            <w:tcBorders>
              <w:top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4620" w:type="dxa"/>
            <w:vAlign w:val="bottom"/>
            <w:gridSpan w:val="8"/>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080" w:type="dxa"/>
            <w:vAlign w:val="bottom"/>
            <w:gridSpan w:val="10"/>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7"/>
        </w:trPr>
        <w:tc>
          <w:tcPr>
            <w:tcW w:w="342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ADDITIONAL INFORMATION</w:t>
            </w:r>
          </w:p>
        </w:tc>
        <w:tc>
          <w:tcPr>
            <w:tcW w:w="2780" w:type="dxa"/>
            <w:vAlign w:val="bottom"/>
            <w:gridSpan w:val="3"/>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7"/>
        </w:trPr>
        <w:tc>
          <w:tcPr>
            <w:tcW w:w="620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311785</wp:posOffset>
            </wp:positionV>
            <wp:extent cx="11353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6" w:lineRule="exact"/>
        <w:rPr>
          <w:sz w:val="20"/>
          <w:szCs w:val="20"/>
          <w:color w:val="auto"/>
        </w:rPr>
      </w:pPr>
    </w:p>
    <w:p>
      <w:pPr>
        <w:ind w:left="1380" w:right="359" w:firstLine="341"/>
        <w:spacing w:after="0" w:line="255"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any information other than that contained in, or incorporated by reference into, this prospectus. We take no responsibility for, and can provide no assurance as to the reliability of, any other information that others may give you. This prospectus is an offer to sell only the shares of our Class A common stock offered hereby, but only under circumstances and in jurisdictions where it is lawful to do so. You should not assume that the information contained in or incorporated by reference in this prospectus is accurate as of any date other than their respective dates. Our business, financial condition, results of operations and prospects may have changed since those dates.</w:t>
      </w:r>
    </w:p>
    <w:p>
      <w:pPr>
        <w:spacing w:after="0" w:line="145" w:lineRule="exact"/>
        <w:rPr>
          <w:sz w:val="20"/>
          <w:szCs w:val="20"/>
          <w:color w:val="auto"/>
        </w:rPr>
      </w:pPr>
    </w:p>
    <w:p>
      <w:pPr>
        <w:ind w:left="1380" w:right="259" w:firstLine="341"/>
        <w:spacing w:after="0" w:line="286" w:lineRule="auto"/>
        <w:rPr>
          <w:sz w:val="20"/>
          <w:szCs w:val="20"/>
          <w:color w:val="auto"/>
        </w:rPr>
      </w:pPr>
      <w:r>
        <w:rPr>
          <w:rFonts w:ascii="Times New Roman" w:cs="Times New Roman" w:eastAsia="Times New Roman" w:hAnsi="Times New Roman"/>
          <w:sz w:val="13"/>
          <w:szCs w:val="13"/>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24" w:lineRule="exact"/>
        <w:rPr>
          <w:sz w:val="20"/>
          <w:szCs w:val="20"/>
          <w:color w:val="auto"/>
        </w:rPr>
      </w:pPr>
    </w:p>
    <w:p>
      <w:pPr>
        <w:ind w:left="1380" w:right="339" w:firstLine="341"/>
        <w:spacing w:after="0" w:line="280" w:lineRule="auto"/>
        <w:rPr>
          <w:sz w:val="20"/>
          <w:szCs w:val="20"/>
          <w:color w:val="auto"/>
        </w:rPr>
      </w:pPr>
      <w:r>
        <w:rPr>
          <w:rFonts w:ascii="Times New Roman" w:cs="Times New Roman" w:eastAsia="Times New Roman" w:hAnsi="Times New Roman"/>
          <w:sz w:val="14"/>
          <w:szCs w:val="14"/>
          <w:color w:val="auto"/>
        </w:rPr>
        <w:t>Unless the context indicates otherwise, as used in this prospectus, the terms “Rani,” “Company,” “we,” “us” and “our” refer to Rani Therapeutics Holdings, Inc., or Rani Holdings, together with its subsidiaries, Rani Therapeutics, LLC, or Rani LLC.</w:t>
      </w:r>
    </w:p>
    <w:p>
      <w:pPr>
        <w:spacing w:after="0" w:line="3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932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23535" cy="4932045"/>
                    </a:xfrm>
                    <a:prstGeom prst="rect">
                      <a:avLst/>
                    </a:prstGeom>
                    <a:noFill/>
                  </pic:spPr>
                </pic:pic>
              </a:graphicData>
            </a:graphic>
          </wp:anchor>
        </w:drawing>
      </w:r>
    </w:p>
    <w:p>
      <w:pPr>
        <w:spacing w:after="0" w:line="3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4" w:lineRule="exact"/>
        <w:rPr>
          <w:sz w:val="20"/>
          <w:szCs w:val="20"/>
          <w:color w:val="auto"/>
        </w:rPr>
      </w:pPr>
    </w:p>
    <w:p>
      <w:pPr>
        <w:ind w:left="1520" w:right="599" w:firstLine="330"/>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contained in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2" w:lineRule="exact"/>
        <w:rPr>
          <w:sz w:val="20"/>
          <w:szCs w:val="20"/>
          <w:color w:val="auto"/>
        </w:rPr>
      </w:pPr>
    </w:p>
    <w:p>
      <w:pPr>
        <w:ind w:left="1520" w:right="579" w:firstLine="330"/>
        <w:spacing w:after="0" w:line="259" w:lineRule="auto"/>
        <w:rPr>
          <w:sz w:val="20"/>
          <w:szCs w:val="20"/>
          <w:color w:val="auto"/>
        </w:rPr>
      </w:pPr>
      <w:r>
        <w:rPr>
          <w:rFonts w:ascii="Times New Roman" w:cs="Times New Roman" w:eastAsia="Times New Roman" w:hAnsi="Times New Roman"/>
          <w:sz w:val="14"/>
          <w:szCs w:val="14"/>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41" w:lineRule="exact"/>
        <w:rPr>
          <w:sz w:val="20"/>
          <w:szCs w:val="20"/>
          <w:color w:val="auto"/>
        </w:rPr>
      </w:pPr>
    </w:p>
    <w:p>
      <w:pPr>
        <w:jc w:val="both"/>
        <w:ind w:left="1520" w:right="579" w:firstLine="330"/>
        <w:spacing w:after="0" w:line="254" w:lineRule="auto"/>
        <w:rPr>
          <w:sz w:val="20"/>
          <w:szCs w:val="20"/>
          <w:color w:val="auto"/>
        </w:rPr>
      </w:pPr>
      <w:r>
        <w:rPr>
          <w:rFonts w:ascii="Times New Roman" w:cs="Times New Roman" w:eastAsia="Times New Roman" w:hAnsi="Times New Roman"/>
          <w:sz w:val="14"/>
          <w:szCs w:val="14"/>
          <w:color w:val="auto"/>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by the end of 2025.</w:t>
      </w:r>
    </w:p>
    <w:p>
      <w:pPr>
        <w:spacing w:after="0" w:line="146" w:lineRule="exact"/>
        <w:rPr>
          <w:sz w:val="20"/>
          <w:szCs w:val="20"/>
          <w:color w:val="auto"/>
        </w:rPr>
      </w:pPr>
    </w:p>
    <w:p>
      <w:pPr>
        <w:ind w:left="1520" w:right="439" w:firstLine="330"/>
        <w:spacing w:after="0" w:line="254" w:lineRule="auto"/>
        <w:rPr>
          <w:sz w:val="20"/>
          <w:szCs w:val="20"/>
          <w:color w:val="auto"/>
        </w:rPr>
      </w:pPr>
      <w:r>
        <w:rPr>
          <w:rFonts w:ascii="Times New Roman" w:cs="Times New Roman" w:eastAsia="Times New Roman" w:hAnsi="Times New Roman"/>
          <w:sz w:val="14"/>
          <w:szCs w:val="14"/>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Private Placement</w:t>
      </w:r>
    </w:p>
    <w:p>
      <w:pPr>
        <w:spacing w:after="0" w:line="92" w:lineRule="exact"/>
        <w:rPr>
          <w:sz w:val="20"/>
          <w:szCs w:val="20"/>
          <w:color w:val="auto"/>
        </w:rPr>
      </w:pPr>
    </w:p>
    <w:p>
      <w:pPr>
        <w:ind w:left="1520" w:right="619" w:firstLine="330"/>
        <w:spacing w:after="0" w:line="265" w:lineRule="auto"/>
        <w:rPr>
          <w:sz w:val="20"/>
          <w:szCs w:val="20"/>
          <w:color w:val="auto"/>
        </w:rPr>
      </w:pPr>
      <w:r>
        <w:rPr>
          <w:rFonts w:ascii="Times New Roman" w:cs="Times New Roman" w:eastAsia="Times New Roman" w:hAnsi="Times New Roman"/>
          <w:sz w:val="14"/>
          <w:szCs w:val="14"/>
          <w:color w:val="auto"/>
        </w:rPr>
        <w:t>On October 16, 2025, we entered into a securities purchase agreement, or the Purchase Agreement, with (i) certain institutional and accredited investors, and (ii) Mir Imran, the Executive Chairman of our board of directors, or collectively, the Purchasers, pursuant to which we agreed to issue and sell in a private placement:</w:t>
      </w:r>
    </w:p>
    <w:p>
      <w:pPr>
        <w:spacing w:after="0" w:line="63" w:lineRule="exact"/>
        <w:rPr>
          <w:sz w:val="20"/>
          <w:szCs w:val="20"/>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42,633,337 shares Class A common stock;</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warrants to purchase up to 125,000,004 shares of Class A common stock (or pre-funded warrants); and</w:t>
      </w:r>
    </w:p>
    <w:p>
      <w:pPr>
        <w:spacing w:after="0" w:line="100" w:lineRule="exact"/>
        <w:rPr>
          <w:rFonts w:ascii="Times New Roman" w:cs="Times New Roman" w:eastAsia="Times New Roman" w:hAnsi="Times New Roman"/>
          <w:sz w:val="14"/>
          <w:szCs w:val="14"/>
          <w:color w:val="auto"/>
        </w:rPr>
      </w:pPr>
    </w:p>
    <w:p>
      <w:pPr>
        <w:ind w:left="2240" w:hanging="313"/>
        <w:spacing w:after="0"/>
        <w:tabs>
          <w:tab w:leader="none" w:pos="2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pre-funded warrants to purchase up to 82,366,667 shares of Class A common stock.</w:t>
      </w:r>
    </w:p>
    <w:p>
      <w:pPr>
        <w:spacing w:after="0" w:line="174" w:lineRule="exact"/>
        <w:rPr>
          <w:sz w:val="20"/>
          <w:szCs w:val="20"/>
          <w:color w:val="auto"/>
        </w:rPr>
      </w:pPr>
    </w:p>
    <w:p>
      <w:pPr>
        <w:ind w:left="1520" w:right="399" w:firstLine="330"/>
        <w:spacing w:after="0" w:line="280" w:lineRule="auto"/>
        <w:rPr>
          <w:sz w:val="20"/>
          <w:szCs w:val="20"/>
          <w:color w:val="auto"/>
        </w:rPr>
      </w:pPr>
      <w:r>
        <w:rPr>
          <w:rFonts w:ascii="Times New Roman" w:cs="Times New Roman" w:eastAsia="Times New Roman" w:hAnsi="Times New Roman"/>
          <w:sz w:val="14"/>
          <w:szCs w:val="14"/>
          <w:color w:val="auto"/>
        </w:rPr>
        <w:t>Pursuant to the Purchase Agreement, the purchase price per share of Class A common stock to the Institutional Investors was $0.48 per share; and the purchase price per share of Class A common stock to Mir</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4646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23535" cy="4646295"/>
                    </a:xfrm>
                    <a:prstGeom prst="rect">
                      <a:avLst/>
                    </a:prstGeom>
                    <a:noFill/>
                  </pic:spPr>
                </pic:pic>
              </a:graphicData>
            </a:graphic>
          </wp:anchor>
        </w:drawing>
      </w:r>
    </w:p>
    <w:p>
      <w:pPr>
        <w:spacing w:after="0" w:line="365" w:lineRule="exact"/>
        <w:rPr>
          <w:sz w:val="20"/>
          <w:szCs w:val="20"/>
          <w:color w:val="auto"/>
        </w:rPr>
      </w:pPr>
    </w:p>
    <w:p>
      <w:pPr>
        <w:ind w:left="1520" w:right="399"/>
        <w:spacing w:after="0" w:line="256" w:lineRule="auto"/>
        <w:rPr>
          <w:sz w:val="20"/>
          <w:szCs w:val="20"/>
          <w:color w:val="auto"/>
        </w:rPr>
      </w:pPr>
      <w:r>
        <w:rPr>
          <w:rFonts w:ascii="Times New Roman" w:cs="Times New Roman" w:eastAsia="Times New Roman" w:hAnsi="Times New Roman"/>
          <w:sz w:val="14"/>
          <w:szCs w:val="14"/>
          <w:color w:val="auto"/>
        </w:rPr>
        <w:t>Imran was $0.605 per share, which reflects the consolidated closing bid price of our Class A common stock on October 16, 2025, as reported on the Nasdaq Stock Market, plus $0.125 per Common Warrant. The purchase price of the pre-funded warrants to the Purchasers was $0.4799 per pre-funded warrant, which equals the purchase price per share of Class A common stock minus the $0.0001 exercise</w:t>
      </w:r>
    </w:p>
    <w:p>
      <w:pPr>
        <w:spacing w:after="0" w:line="2" w:lineRule="exact"/>
        <w:rPr>
          <w:sz w:val="20"/>
          <w:szCs w:val="20"/>
          <w:color w:val="auto"/>
        </w:rPr>
      </w:pPr>
    </w:p>
    <w:p>
      <w:pPr>
        <w:ind w:left="1520" w:right="479"/>
        <w:spacing w:after="0" w:line="254" w:lineRule="auto"/>
        <w:rPr>
          <w:sz w:val="20"/>
          <w:szCs w:val="20"/>
          <w:color w:val="auto"/>
        </w:rPr>
      </w:pPr>
      <w:r>
        <w:rPr>
          <w:rFonts w:ascii="Times New Roman" w:cs="Times New Roman" w:eastAsia="Times New Roman" w:hAnsi="Times New Roman"/>
          <w:sz w:val="14"/>
          <w:szCs w:val="14"/>
          <w:color w:val="auto"/>
        </w:rPr>
        <w:t>price per pre-funded warrant. We received gross proceeds of approximately $60.3 million from the Private Placement (including conversion of the outstanding debt of $6.0 million), before deducting fees to the placement agents and offering expenses payable by us. The closing of the Private Placement occurred on October 23, 2025, or the Closing Date.</w:t>
      </w:r>
    </w:p>
    <w:p>
      <w:pPr>
        <w:spacing w:after="0" w:line="143" w:lineRule="exact"/>
        <w:rPr>
          <w:sz w:val="20"/>
          <w:szCs w:val="20"/>
          <w:color w:val="auto"/>
        </w:rPr>
      </w:pPr>
    </w:p>
    <w:p>
      <w:pPr>
        <w:ind w:left="1520" w:right="399" w:firstLine="330"/>
        <w:spacing w:after="0" w:line="257" w:lineRule="auto"/>
        <w:rPr>
          <w:sz w:val="20"/>
          <w:szCs w:val="20"/>
          <w:color w:val="auto"/>
        </w:rPr>
      </w:pPr>
      <w:r>
        <w:rPr>
          <w:rFonts w:ascii="Times New Roman" w:cs="Times New Roman" w:eastAsia="Times New Roman" w:hAnsi="Times New Roman"/>
          <w:sz w:val="14"/>
          <w:szCs w:val="14"/>
          <w:color w:val="auto"/>
        </w:rPr>
        <w:t>The common stock warrants have an exercise price of $0.48 per share and will become exercisable following the effective date of stockholder approval and have a term of five years following the initial exercise date. The pre-funded warrants are exercisable immediately following the Closing Date, have an unlimited term and an exercise price of $0.0001 per share. Pursuant to the Purchase Agreement, we also agreed to seek approval from our stockholders for the issuance of the shares issuable upon exercise of the common stock warrants within 75 days following the Closing Date.</w:t>
      </w:r>
    </w:p>
    <w:p>
      <w:pPr>
        <w:spacing w:after="0" w:line="142" w:lineRule="exact"/>
        <w:rPr>
          <w:sz w:val="20"/>
          <w:szCs w:val="20"/>
          <w:color w:val="auto"/>
        </w:rPr>
      </w:pPr>
    </w:p>
    <w:p>
      <w:pPr>
        <w:ind w:left="1520" w:right="399" w:firstLine="330"/>
        <w:spacing w:after="0" w:line="254" w:lineRule="auto"/>
        <w:rPr>
          <w:sz w:val="20"/>
          <w:szCs w:val="20"/>
          <w:color w:val="auto"/>
        </w:rPr>
      </w:pPr>
      <w:r>
        <w:rPr>
          <w:rFonts w:ascii="Times New Roman" w:cs="Times New Roman" w:eastAsia="Times New Roman" w:hAnsi="Times New Roman"/>
          <w:sz w:val="14"/>
          <w:szCs w:val="14"/>
          <w:color w:val="auto"/>
        </w:rPr>
        <w:t>On October 16, 2025, we also entered into a registration rights agreement with the Purchasers, or the Registration Rights Agreement, pursuant to which we have agreed to file registration statements under the Securities Act of 1933, as amended, or the Securities Act, with the U.S. Securities and Exchange Commission, or the SEC, covering the resale of (i) the shares of Class A common stock and (ii) the shares of Class A common stock issuable upon exercise of the common stock warrants and pre-funded warrants purchased in connection with the Purchase Agreement no later than 15 days following the Closing Date, or the Filing Deadline, and to use reasonable best efforts to have the registration statement declared effective 45 days after the Closing Date, and in any event no later than 90 days following the Closing Date in the event of a “full review” by the SEC, or the Effectiveness Deadline.</w:t>
      </w:r>
    </w:p>
    <w:p>
      <w:pPr>
        <w:spacing w:after="0" w:line="146" w:lineRule="exact"/>
        <w:rPr>
          <w:sz w:val="20"/>
          <w:szCs w:val="20"/>
          <w:color w:val="auto"/>
        </w:rPr>
      </w:pPr>
    </w:p>
    <w:p>
      <w:pPr>
        <w:jc w:val="both"/>
        <w:ind w:left="1520" w:right="559" w:firstLine="330"/>
        <w:spacing w:after="0" w:line="265" w:lineRule="auto"/>
        <w:rPr>
          <w:sz w:val="20"/>
          <w:szCs w:val="20"/>
          <w:color w:val="auto"/>
        </w:rPr>
      </w:pPr>
      <w:r>
        <w:rPr>
          <w:rFonts w:ascii="Times New Roman" w:cs="Times New Roman" w:eastAsia="Times New Roman" w:hAnsi="Times New Roman"/>
          <w:sz w:val="14"/>
          <w:szCs w:val="14"/>
          <w:color w:val="auto"/>
        </w:rPr>
        <w:t>We are only registering pursuant to the registration statement of which this prospectus forms a part (i) the shares of Class A common stock and (ii) the shares of Class A common stock issuable upon exercise of the common stock warrants and pre-funded warrants, that were issued and sold in the Private Placement.</w:t>
      </w:r>
    </w:p>
    <w:p>
      <w:pPr>
        <w:spacing w:after="0" w:line="2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Samsara BioCapital Nomination Right</w:t>
      </w:r>
    </w:p>
    <w:p>
      <w:pPr>
        <w:spacing w:after="0" w:line="92" w:lineRule="exact"/>
        <w:rPr>
          <w:sz w:val="20"/>
          <w:szCs w:val="20"/>
          <w:color w:val="auto"/>
        </w:rPr>
      </w:pPr>
    </w:p>
    <w:p>
      <w:pPr>
        <w:ind w:left="1520" w:right="419" w:firstLine="330"/>
        <w:spacing w:after="0" w:line="277" w:lineRule="auto"/>
        <w:rPr>
          <w:sz w:val="20"/>
          <w:szCs w:val="20"/>
          <w:color w:val="auto"/>
        </w:rPr>
      </w:pPr>
      <w:r>
        <w:rPr>
          <w:rFonts w:ascii="Times New Roman" w:cs="Times New Roman" w:eastAsia="Times New Roman" w:hAnsi="Times New Roman"/>
          <w:sz w:val="13"/>
          <w:szCs w:val="13"/>
          <w:color w:val="auto"/>
        </w:rPr>
        <w:t>Pursuant to the Purchase Agreement, for so long as Samsara BioCapital and its affiliates, or collectively, Samsara, beneficially own securities representing at least 25% of the securities issued to it on the Closing Date (including upon exercise of the common stock warrants and pre-funded warrants), Samsara shall have the right, subject to compliance with the applicable rules and regulations of The Nasdaq Stock Market, to designate one member of our board of directors, or the Samsara Board Representative. In connection with this nomination right, we appointed Abraham Bassan as the Samsara Board Representative to our board of directors until the earlier of our next annual meeting of stockholders, the appointment and qualification of his successor, or his death, resignation, or removal and until his successor has been duly elected and qualified, or until his earlier death, resignation or removal. In addition, Mr. Bassan was appointed as chair of the Nominating and Corporate Governance Committee.</w:t>
      </w:r>
    </w:p>
    <w:p>
      <w:pPr>
        <w:spacing w:after="0" w:line="2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Anomaly Ventures Nomination Right</w:t>
      </w:r>
    </w:p>
    <w:p>
      <w:pPr>
        <w:spacing w:after="0" w:line="92" w:lineRule="exact"/>
        <w:rPr>
          <w:sz w:val="20"/>
          <w:szCs w:val="20"/>
          <w:color w:val="auto"/>
        </w:rPr>
      </w:pPr>
    </w:p>
    <w:p>
      <w:pPr>
        <w:ind w:left="1520" w:right="519" w:firstLine="330"/>
        <w:spacing w:after="0" w:line="257" w:lineRule="auto"/>
        <w:rPr>
          <w:sz w:val="20"/>
          <w:szCs w:val="20"/>
          <w:color w:val="auto"/>
        </w:rPr>
      </w:pPr>
      <w:r>
        <w:rPr>
          <w:rFonts w:ascii="Times New Roman" w:cs="Times New Roman" w:eastAsia="Times New Roman" w:hAnsi="Times New Roman"/>
          <w:sz w:val="14"/>
          <w:szCs w:val="14"/>
          <w:color w:val="auto"/>
        </w:rPr>
        <w:t>Pursuant to the Purchase Agreement, for so long as Anomaly Ventures, LLC and its affiliates, or collectively, Anomaly, beneficially own securities representing at least 25% of the securities issued to it on the Closing Date (including upon exercise of the common stock warrants and pre-funded warrants), Anomaly shall have the right, subject to compliance with the applicable rules and regulations of The Nasdaq Stock Market, to designate one member of our board of directors, or the Anomaly Board Representative. In connection with this nomination right, we appointed Vasudev Bailey, Ph.D. as the Anomaly Board Representative to our board of</w:t>
      </w: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164465</wp:posOffset>
            </wp:positionV>
            <wp:extent cx="5423535" cy="2734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23535" cy="2734310"/>
                    </a:xfrm>
                    <a:prstGeom prst="rect">
                      <a:avLst/>
                    </a:prstGeom>
                    <a:noFill/>
                  </pic:spPr>
                </pic:pic>
              </a:graphicData>
            </a:graphic>
          </wp:anchor>
        </w:drawing>
      </w:r>
    </w:p>
    <w:p>
      <w:pPr>
        <w:spacing w:after="0" w:line="365" w:lineRule="exact"/>
        <w:rPr>
          <w:sz w:val="20"/>
          <w:szCs w:val="20"/>
          <w:color w:val="auto"/>
        </w:rPr>
      </w:pPr>
    </w:p>
    <w:p>
      <w:pPr>
        <w:ind w:left="1520" w:right="439"/>
        <w:spacing w:after="0" w:line="265" w:lineRule="auto"/>
        <w:rPr>
          <w:sz w:val="20"/>
          <w:szCs w:val="20"/>
          <w:color w:val="auto"/>
        </w:rPr>
      </w:pPr>
      <w:r>
        <w:rPr>
          <w:rFonts w:ascii="Times New Roman" w:cs="Times New Roman" w:eastAsia="Times New Roman" w:hAnsi="Times New Roman"/>
          <w:sz w:val="14"/>
          <w:szCs w:val="14"/>
          <w:color w:val="auto"/>
        </w:rPr>
        <w:t>directors until the earlier of our next annual meeting of stockholders, the appointment and qualification of his successor, or his death, resignation, or removal and until his successor has been duly elected and qualified, or until his earlier death, resignation or removal. In addition, Dr. Bailey was appointed as chair of the Compensation Committee.</w:t>
      </w:r>
    </w:p>
    <w:p>
      <w:pPr>
        <w:spacing w:after="0" w:line="2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2" w:lineRule="exact"/>
        <w:rPr>
          <w:sz w:val="20"/>
          <w:szCs w:val="20"/>
          <w:color w:val="auto"/>
        </w:rPr>
      </w:pPr>
    </w:p>
    <w:p>
      <w:pPr>
        <w:ind w:left="1520" w:right="459" w:firstLine="330"/>
        <w:spacing w:after="0" w:line="265" w:lineRule="auto"/>
        <w:rPr>
          <w:sz w:val="20"/>
          <w:szCs w:val="20"/>
          <w:color w:val="auto"/>
        </w:rPr>
      </w:pPr>
      <w:r>
        <w:rPr>
          <w:rFonts w:ascii="Times New Roman" w:cs="Times New Roman" w:eastAsia="Times New Roman" w:hAnsi="Times New Roman"/>
          <w:sz w:val="14"/>
          <w:szCs w:val="14"/>
          <w:color w:val="auto"/>
        </w:rPr>
        <w:t>We will not receive any of the proceeds from the sale of shares of our Class A common stock by the selling stockholders in this offering, except with respect to amounts received by us upon exercise of the common stock warrants and pre-funded warrants, to the extent the warrants are exercised for cash. The selling stockholders will receive all of the proceeds from the sale of shares of our Class A common stock hereunder.</w:t>
      </w:r>
    </w:p>
    <w:p>
      <w:pPr>
        <w:spacing w:after="0" w:line="2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The Nasdaq Global Market Listing</w:t>
      </w:r>
    </w:p>
    <w:p>
      <w:pPr>
        <w:spacing w:after="0" w:line="92" w:lineRule="exact"/>
        <w:rPr>
          <w:sz w:val="20"/>
          <w:szCs w:val="20"/>
          <w:color w:val="auto"/>
        </w:rPr>
      </w:pPr>
    </w:p>
    <w:p>
      <w:pPr>
        <w:ind w:left="1520" w:right="659" w:firstLine="330"/>
        <w:spacing w:after="0" w:line="280" w:lineRule="auto"/>
        <w:rPr>
          <w:sz w:val="20"/>
          <w:szCs w:val="20"/>
          <w:color w:val="auto"/>
        </w:rPr>
      </w:pPr>
      <w:r>
        <w:rPr>
          <w:rFonts w:ascii="Times New Roman" w:cs="Times New Roman" w:eastAsia="Times New Roman" w:hAnsi="Times New Roman"/>
          <w:sz w:val="14"/>
          <w:szCs w:val="14"/>
          <w:color w:val="auto"/>
        </w:rPr>
        <w:t>Our Class A common stock is listed on The Nasdaq Global Market under the symbol “RANI”. We do not intend to list the common stock warrants or pre-funded warrants on any national securities exchange.</w:t>
      </w: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Company Information</w:t>
      </w:r>
    </w:p>
    <w:p>
      <w:pPr>
        <w:spacing w:after="0" w:line="92" w:lineRule="exact"/>
        <w:rPr>
          <w:sz w:val="20"/>
          <w:szCs w:val="20"/>
          <w:color w:val="auto"/>
        </w:rPr>
      </w:pPr>
    </w:p>
    <w:p>
      <w:pPr>
        <w:ind w:left="1520" w:right="479" w:firstLine="330"/>
        <w:spacing w:after="0" w:line="254" w:lineRule="auto"/>
        <w:rPr>
          <w:sz w:val="20"/>
          <w:szCs w:val="20"/>
          <w:color w:val="auto"/>
        </w:rPr>
      </w:pPr>
      <w:r>
        <w:rPr>
          <w:rFonts w:ascii="Times New Roman" w:cs="Times New Roman" w:eastAsia="Times New Roman" w:hAnsi="Times New Roman"/>
          <w:sz w:val="14"/>
          <w:szCs w:val="14"/>
          <w:color w:val="auto"/>
        </w:rPr>
        <w:t xml:space="preserve">Rani Holdings was formed as a Delaware corporation in April 2021 for the purpose of facilitating an initial public offering, or the IPO, of its Class A common stock, to facilitate certain organizational transactions, and to operate the business of Rani Therapeutics, LLC, or Rani LLC.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 Our principal offices are located at 2051 Ringwood Ave., San Jose, California 95131 and our telephone number is (408) 457-3700. Our corporate website address is </w:t>
      </w:r>
      <w:r>
        <w:rPr>
          <w:rFonts w:ascii="Times New Roman" w:cs="Times New Roman" w:eastAsia="Times New Roman" w:hAnsi="Times New Roman"/>
          <w:sz w:val="14"/>
          <w:szCs w:val="14"/>
          <w:i w:val="1"/>
          <w:iCs w:val="1"/>
          <w:color w:val="auto"/>
        </w:rPr>
        <w:t>www.ranitherapeutics.com</w:t>
      </w:r>
      <w:r>
        <w:rPr>
          <w:rFonts w:ascii="Times New Roman" w:cs="Times New Roman" w:eastAsia="Times New Roman" w:hAnsi="Times New Roman"/>
          <w:sz w:val="14"/>
          <w:szCs w:val="14"/>
          <w:color w:val="auto"/>
        </w:rPr>
        <w:t>. The contents of our website are not incorporated by reference herein, and any references to our website is intended to be inactive textual references only.</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80" w:right="519" w:firstLine="341"/>
        <w:spacing w:after="0" w:line="280" w:lineRule="auto"/>
        <w:rPr>
          <w:sz w:val="20"/>
          <w:szCs w:val="20"/>
          <w:color w:val="auto"/>
        </w:rPr>
      </w:pPr>
      <w:r>
        <w:rPr>
          <w:rFonts w:ascii="Times New Roman" w:cs="Times New Roman" w:eastAsia="Times New Roman" w:hAnsi="Times New Roman"/>
          <w:sz w:val="13"/>
          <w:szCs w:val="13"/>
          <w:color w:val="auto"/>
        </w:rPr>
        <w:t>Investing in our Class A common stock involves a high degree of risk. Before deciding whether to invest in our Class A common stock, you should consider carefully the risks and uncertainties described under the heading “Risk Factors” contained in our most recent annual report on Form</w:t>
      </w:r>
    </w:p>
    <w:p>
      <w:pPr>
        <w:spacing w:after="0" w:line="1" w:lineRule="exact"/>
        <w:rPr>
          <w:sz w:val="20"/>
          <w:szCs w:val="20"/>
          <w:color w:val="auto"/>
        </w:rPr>
      </w:pPr>
    </w:p>
    <w:p>
      <w:pPr>
        <w:ind w:left="1380" w:right="279"/>
        <w:spacing w:after="0" w:line="250" w:lineRule="auto"/>
        <w:rPr>
          <w:sz w:val="20"/>
          <w:szCs w:val="20"/>
          <w:color w:val="auto"/>
        </w:rPr>
      </w:pPr>
      <w:r>
        <w:rPr>
          <w:rFonts w:ascii="Times New Roman" w:cs="Times New Roman" w:eastAsia="Times New Roman" w:hAnsi="Times New Roman"/>
          <w:sz w:val="14"/>
          <w:szCs w:val="14"/>
          <w:color w:val="auto"/>
        </w:rPr>
        <w:t>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Class A common stock to decline, resulting in a loss of all or part of your investment. Please also read carefully the section below titled “Special Note Regarding Forward-Looking Statements.”</w:t>
      </w:r>
    </w:p>
    <w:p>
      <w:pPr>
        <w:spacing w:after="0" w:line="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6"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71" w:lineRule="exact"/>
        <w:rPr>
          <w:sz w:val="20"/>
          <w:szCs w:val="20"/>
          <w:color w:val="auto"/>
        </w:rPr>
      </w:pPr>
    </w:p>
    <w:p>
      <w:pPr>
        <w:ind w:left="2140" w:right="299" w:hanging="343"/>
        <w:spacing w:after="0" w:line="280"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timing, and focus of our current and future clinical trials in the United States and abroad, and the reporting of data from those trials;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efficacy, and therapeutic effects of our product candidates;</w:t>
      </w:r>
    </w:p>
    <w:p>
      <w:pPr>
        <w:spacing w:after="0" w:line="100" w:lineRule="exact"/>
        <w:rPr>
          <w:rFonts w:ascii="Times New Roman" w:cs="Times New Roman" w:eastAsia="Times New Roman" w:hAnsi="Times New Roman"/>
          <w:sz w:val="14"/>
          <w:szCs w:val="14"/>
          <w:color w:val="auto"/>
        </w:rPr>
      </w:pPr>
    </w:p>
    <w:p>
      <w:pPr>
        <w:ind w:left="2140" w:right="699" w:hanging="343"/>
        <w:spacing w:after="0" w:line="280"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and ability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4"/>
          <w:szCs w:val="14"/>
          <w:color w:val="auto"/>
        </w:rPr>
      </w:pPr>
    </w:p>
    <w:p>
      <w:pPr>
        <w:ind w:left="2140" w:right="439" w:hanging="343"/>
        <w:spacing w:after="0" w:line="265"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62"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develop and expand our platform technology;</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technology platform to generate and advance additional product candidates;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 capital requirements, and needs for additional financing;</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our product candidates, if approved;</w:t>
      </w:r>
    </w:p>
    <w:p>
      <w:pPr>
        <w:spacing w:after="0" w:line="100" w:lineRule="exact"/>
        <w:rPr>
          <w:rFonts w:ascii="Times New Roman" w:cs="Times New Roman" w:eastAsia="Times New Roman" w:hAnsi="Times New Roman"/>
          <w:sz w:val="14"/>
          <w:szCs w:val="14"/>
          <w:color w:val="auto"/>
        </w:rPr>
      </w:pPr>
    </w:p>
    <w:p>
      <w:pPr>
        <w:ind w:left="2140" w:right="679" w:hanging="343"/>
        <w:spacing w:after="0" w:line="280"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selectively enter into strategic partnership and the expected potential benefits thereof, including our collaboration with Chugai Pharmaceuticals Co. Ltd.;</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and product candidates;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scale and optimize our manufacturing processes, including by expanding our use of automation;</w:t>
      </w:r>
    </w:p>
    <w:p>
      <w:pPr>
        <w:spacing w:after="0" w:line="100" w:lineRule="exact"/>
        <w:rPr>
          <w:rFonts w:ascii="Times New Roman" w:cs="Times New Roman" w:eastAsia="Times New Roman" w:hAnsi="Times New Roman"/>
          <w:sz w:val="14"/>
          <w:szCs w:val="14"/>
          <w:color w:val="auto"/>
        </w:rPr>
      </w:pPr>
    </w:p>
    <w:p>
      <w:pPr>
        <w:ind w:left="2140" w:right="379" w:hanging="343"/>
        <w:spacing w:after="0" w:line="280"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number of patients in the United States who suffer from the indications we target and the number of patients that will enroll in our clinical trials;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market opportunity for our product candidates in each of the indications we target;</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innovate and expand our intellectual property by developing new applications of the RaniPill capsule;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intellectual property rights, including extensions of existing patent terms where available;</w:t>
      </w:r>
    </w:p>
    <w:p>
      <w:pPr>
        <w:spacing w:after="0" w:line="100"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including our technology platform and product candidates;</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to fund our future operating expenses and capital expenditure requirements;</w:t>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hanging="34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Class A common stock on the Nasdaq Global Market;</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including competing product candidates and therapies;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received from the exercise of the common stock warrants or pre-funded warrants, if any; and</w:t>
      </w:r>
    </w:p>
    <w:p>
      <w:pPr>
        <w:spacing w:after="0" w:line="100" w:lineRule="exact"/>
        <w:rPr>
          <w:rFonts w:ascii="Times New Roman" w:cs="Times New Roman" w:eastAsia="Times New Roman" w:hAnsi="Times New Roman"/>
          <w:sz w:val="14"/>
          <w:szCs w:val="14"/>
          <w:color w:val="auto"/>
        </w:rPr>
      </w:pPr>
    </w:p>
    <w:p>
      <w:pPr>
        <w:ind w:left="2140" w:right="519" w:hanging="343"/>
        <w:spacing w:after="0" w:line="280" w:lineRule="auto"/>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Jumpstart Our Business Startups Act of 2012.</w:t>
      </w:r>
    </w:p>
    <w:p>
      <w:pPr>
        <w:spacing w:after="0" w:line="126"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in greater detail, and incorporate by reference into this prospectus in their entirety, many of these risks under the section titled “Risk Factors” in our most recent annual report on Form 10-K, and in our subsequent quarterly reports on Form 10-Q, as updated by our subsequent filings under the Exchange Act, which are incorporated herein by reference, as may be updated or superseded by the risks and uncertainties described under similar headings in the other documents that are filed after the date hereof and incorporated by reference into this prospectus. Also, these forward-looking statements represent our estimates and assumptions only as of the date of the document containing the applicable statement.</w:t>
      </w:r>
    </w:p>
    <w:p>
      <w:pPr>
        <w:spacing w:after="0" w:line="145" w:lineRule="exact"/>
        <w:rPr>
          <w:sz w:val="20"/>
          <w:szCs w:val="20"/>
          <w:color w:val="auto"/>
        </w:rPr>
      </w:pPr>
    </w:p>
    <w:p>
      <w:pPr>
        <w:ind w:left="1380" w:right="459" w:firstLine="341"/>
        <w:spacing w:after="0" w:line="259" w:lineRule="auto"/>
        <w:rPr>
          <w:sz w:val="20"/>
          <w:szCs w:val="20"/>
          <w:color w:val="auto"/>
        </w:rPr>
      </w:pPr>
      <w:r>
        <w:rPr>
          <w:rFonts w:ascii="Times New Roman" w:cs="Times New Roman" w:eastAsia="Times New Roman" w:hAnsi="Times New Roman"/>
          <w:sz w:val="14"/>
          <w:szCs w:val="14"/>
          <w:color w:val="auto"/>
        </w:rPr>
        <w:t>These risks are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41" w:lineRule="exact"/>
        <w:rPr>
          <w:sz w:val="20"/>
          <w:szCs w:val="20"/>
          <w:color w:val="auto"/>
        </w:rPr>
      </w:pPr>
    </w:p>
    <w:p>
      <w:pPr>
        <w:ind w:left="1380" w:right="559" w:firstLine="341"/>
        <w:spacing w:after="0" w:line="280"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cannot assure you that the events and circumstances reflected in the forward-looking statements will be achieved or occur.</w:t>
      </w:r>
    </w:p>
    <w:p>
      <w:pPr>
        <w:spacing w:after="0" w:line="126" w:lineRule="exact"/>
        <w:rPr>
          <w:sz w:val="20"/>
          <w:szCs w:val="20"/>
          <w:color w:val="auto"/>
        </w:rPr>
      </w:pPr>
    </w:p>
    <w:p>
      <w:pPr>
        <w:jc w:val="both"/>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36" w:lineRule="exact"/>
        <w:rPr>
          <w:sz w:val="20"/>
          <w:szCs w:val="20"/>
          <w:color w:val="auto"/>
        </w:rPr>
      </w:pPr>
    </w:p>
    <w:p>
      <w:pPr>
        <w:ind w:left="1380" w:right="399" w:firstLine="341"/>
        <w:spacing w:after="0" w:line="25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42" w:lineRule="exact"/>
        <w:rPr>
          <w:sz w:val="20"/>
          <w:szCs w:val="20"/>
          <w:color w:val="auto"/>
        </w:rPr>
      </w:pPr>
    </w:p>
    <w:p>
      <w:pPr>
        <w:jc w:val="both"/>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jc w:val="both"/>
        <w:ind w:left="1380" w:right="279" w:firstLine="341"/>
        <w:spacing w:after="0" w:line="280" w:lineRule="auto"/>
        <w:rPr>
          <w:sz w:val="20"/>
          <w:szCs w:val="20"/>
          <w:color w:val="auto"/>
        </w:rPr>
      </w:pPr>
      <w:r>
        <w:rPr>
          <w:rFonts w:ascii="Times New Roman" w:cs="Times New Roman" w:eastAsia="Times New Roman" w:hAnsi="Times New Roman"/>
          <w:sz w:val="14"/>
          <w:szCs w:val="14"/>
          <w:color w:val="auto"/>
        </w:rPr>
        <w:t>All the shares of our Class A common stock to be sold pursuant to this prospectus will be sold by the selling stockholders. We will not receive any of the proceeds from such sales.</w:t>
      </w:r>
    </w:p>
    <w:p>
      <w:pPr>
        <w:spacing w:after="0" w:line="126" w:lineRule="exact"/>
        <w:rPr>
          <w:sz w:val="20"/>
          <w:szCs w:val="20"/>
          <w:color w:val="auto"/>
        </w:rPr>
      </w:pPr>
    </w:p>
    <w:p>
      <w:pPr>
        <w:jc w:val="both"/>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The common stock warrants and pre-funded warrants may be exercised for cash or in certain limited circumstances on a net exercise or “cashless” basis. If the common stock warrants and pre-funded warrants are exercised for cash, we will receive approximately $60 million in connection with such exercise. There can be no assurances that any of the common stock warrants and pre-funded warrants will be exercised for cash.</w:t>
      </w:r>
    </w:p>
    <w:p>
      <w:pPr>
        <w:spacing w:after="0" w:line="136" w:lineRule="exact"/>
        <w:rPr>
          <w:sz w:val="20"/>
          <w:szCs w:val="20"/>
          <w:color w:val="auto"/>
        </w:rPr>
      </w:pPr>
    </w:p>
    <w:p>
      <w:pPr>
        <w:ind w:left="1380" w:right="379" w:firstLine="341"/>
        <w:spacing w:after="0" w:line="280" w:lineRule="auto"/>
        <w:rPr>
          <w:sz w:val="20"/>
          <w:szCs w:val="20"/>
          <w:color w:val="auto"/>
        </w:rPr>
      </w:pPr>
      <w:r>
        <w:rPr>
          <w:rFonts w:ascii="Times New Roman" w:cs="Times New Roman" w:eastAsia="Times New Roman" w:hAnsi="Times New Roman"/>
          <w:sz w:val="14"/>
          <w:szCs w:val="14"/>
          <w:color w:val="auto"/>
        </w:rPr>
        <w:t>We intend to use the net proceeds from the private placement to purchase LLC interests from Rani LLC. We intend to cause Rani LLC to use the net proceeds from such purchase for working capital and other general corporate purposes.</w:t>
      </w:r>
    </w:p>
    <w:p>
      <w:pPr>
        <w:spacing w:after="0" w:line="126"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Our expected use of proceeds described above represents our current intentions based on our present plans and business condition. We cannot predict with certainty all of the particular uses for such proceeds or the actual amounts that we will spend on the uses set forth above. The amounts and timing of our actual expenditures will depend on numerous factors, including the time and cost necessary to conduct our planned clinical trials, the results of our planned clinical trials and other factors described in “Risk Factors” in this prospectus, as well as the amount of cash used in our operations and any unforeseen cash needs.</w:t>
      </w:r>
    </w:p>
    <w:p>
      <w:pPr>
        <w:spacing w:after="0" w:line="142" w:lineRule="exact"/>
        <w:rPr>
          <w:sz w:val="20"/>
          <w:szCs w:val="20"/>
          <w:color w:val="auto"/>
        </w:rPr>
      </w:pPr>
    </w:p>
    <w:p>
      <w:pPr>
        <w:ind w:left="1380" w:right="459" w:firstLine="341"/>
        <w:spacing w:after="0" w:line="280" w:lineRule="auto"/>
        <w:rPr>
          <w:sz w:val="20"/>
          <w:szCs w:val="20"/>
          <w:color w:val="auto"/>
        </w:rPr>
      </w:pPr>
      <w:r>
        <w:rPr>
          <w:rFonts w:ascii="Times New Roman" w:cs="Times New Roman" w:eastAsia="Times New Roman" w:hAnsi="Times New Roman"/>
          <w:sz w:val="14"/>
          <w:szCs w:val="14"/>
          <w:color w:val="auto"/>
        </w:rPr>
        <w:t>We will have broad discretion over how to use the net proceeds and we intend to invest the net proceeds that are not used as described above in short-term, investment-grade, interest-bearing instruments.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Our authorized capital stock consists of</w:t>
      </w:r>
    </w:p>
    <w:p>
      <w:pPr>
        <w:spacing w:after="0" w:line="100" w:lineRule="exact"/>
        <w:rPr>
          <w:sz w:val="20"/>
          <w:szCs w:val="20"/>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800,000,000 shares of Class A common stock, par value $0.0001 per share;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40,000,000 shares of Class B common stock, par value $0.0001 per share;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of Class C common stock, par value $0.0001 per share; and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of preferred stock, par value $0.0001 per share.</w:t>
      </w:r>
    </w:p>
    <w:p>
      <w:pPr>
        <w:spacing w:after="0" w:line="174" w:lineRule="exact"/>
        <w:rPr>
          <w:sz w:val="20"/>
          <w:szCs w:val="20"/>
          <w:color w:val="auto"/>
        </w:rPr>
      </w:pPr>
    </w:p>
    <w:p>
      <w:pPr>
        <w:ind w:left="1380" w:right="499" w:firstLine="341"/>
        <w:spacing w:after="0" w:line="259" w:lineRule="auto"/>
        <w:rPr>
          <w:sz w:val="20"/>
          <w:szCs w:val="20"/>
          <w:color w:val="auto"/>
        </w:rPr>
      </w:pPr>
      <w:r>
        <w:rPr>
          <w:rFonts w:ascii="Times New Roman" w:cs="Times New Roman" w:eastAsia="Times New Roman" w:hAnsi="Times New Roman"/>
          <w:sz w:val="14"/>
          <w:szCs w:val="14"/>
          <w:color w:val="auto"/>
        </w:rPr>
        <w:t>A description of the material terms and provisions of our amended and restated certificate of incorporation and amended and restated bylaws affecting the rights of holders of our capital stock is set forth below. The description is intended as a summary, and is qualified in its entirety by reference to our amended and restated certificate of incorporation and our amended and restated bylaws which are incorporated by reference into the registration statement of which this prospectus is a part.</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2" w:lineRule="exact"/>
        <w:rPr>
          <w:sz w:val="20"/>
          <w:szCs w:val="20"/>
          <w:color w:val="auto"/>
        </w:rPr>
      </w:pPr>
    </w:p>
    <w:p>
      <w:pPr>
        <w:ind w:left="1380" w:right="279"/>
        <w:spacing w:after="0" w:line="253" w:lineRule="auto"/>
        <w:rPr>
          <w:sz w:val="20"/>
          <w:szCs w:val="20"/>
          <w:color w:val="auto"/>
        </w:rPr>
      </w:pPr>
      <w:r>
        <w:rPr>
          <w:rFonts w:ascii="Times New Roman" w:cs="Times New Roman" w:eastAsia="Times New Roman" w:hAnsi="Times New Roman"/>
          <w:sz w:val="14"/>
          <w:szCs w:val="14"/>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Pursuant to the Purchase Agreement, we have agreed to amend our amended and restated certificate of incorporation so that a super-majority of the combined voting power of all shares of Class A common stock and Class B common stock, voting together as a single class would be required for future amendments to the amended and restated certificate of incorporation and bylaws.</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Dividends and Other Distributions</w:t>
      </w:r>
    </w:p>
    <w:p>
      <w:pPr>
        <w:spacing w:after="0" w:line="92" w:lineRule="exact"/>
        <w:rPr>
          <w:sz w:val="20"/>
          <w:szCs w:val="20"/>
          <w:color w:val="auto"/>
        </w:rPr>
      </w:pPr>
    </w:p>
    <w:p>
      <w:pPr>
        <w:jc w:val="both"/>
        <w:ind w:left="1380" w:right="379" w:firstLine="341"/>
        <w:spacing w:after="0" w:line="259"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Distribution on Dissolution</w:t>
      </w:r>
    </w:p>
    <w:p>
      <w:pPr>
        <w:spacing w:after="0" w:line="92" w:lineRule="exact"/>
        <w:rPr>
          <w:sz w:val="20"/>
          <w:szCs w:val="20"/>
          <w:color w:val="auto"/>
        </w:rPr>
      </w:pPr>
    </w:p>
    <w:p>
      <w:pPr>
        <w:ind w:left="1380" w:right="259" w:firstLine="341"/>
        <w:spacing w:after="0" w:line="259" w:lineRule="auto"/>
        <w:rPr>
          <w:sz w:val="20"/>
          <w:szCs w:val="20"/>
          <w:color w:val="auto"/>
        </w:rPr>
      </w:pPr>
      <w:r>
        <w:rPr>
          <w:rFonts w:ascii="Times New Roman" w:cs="Times New Roman" w:eastAsia="Times New Roman" w:hAnsi="Times New Roman"/>
          <w:sz w:val="14"/>
          <w:szCs w:val="14"/>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92" w:lineRule="exact"/>
        <w:rPr>
          <w:sz w:val="20"/>
          <w:szCs w:val="20"/>
          <w:color w:val="auto"/>
        </w:rPr>
      </w:pPr>
    </w:p>
    <w:p>
      <w:pPr>
        <w:ind w:left="1380" w:right="359" w:firstLine="341"/>
        <w:spacing w:after="0" w:line="280" w:lineRule="auto"/>
        <w:rPr>
          <w:sz w:val="20"/>
          <w:szCs w:val="20"/>
          <w:color w:val="auto"/>
        </w:rPr>
      </w:pPr>
      <w:r>
        <w:rPr>
          <w:rFonts w:ascii="Times New Roman" w:cs="Times New Roman" w:eastAsia="Times New Roman" w:hAnsi="Times New Roman"/>
          <w:sz w:val="14"/>
          <w:szCs w:val="14"/>
          <w:color w:val="auto"/>
        </w:rPr>
        <w:t>No shares of Class A common stock are subject to redemption or have preemptive rights to purchase additional shares of Class A common stock. Holders of shares of our Class A common stock do not have</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359"/>
        <w:spacing w:after="0" w:line="265" w:lineRule="auto"/>
        <w:rPr>
          <w:sz w:val="20"/>
          <w:szCs w:val="20"/>
          <w:color w:val="auto"/>
        </w:rPr>
      </w:pPr>
      <w:r>
        <w:rPr>
          <w:rFonts w:ascii="Times New Roman" w:cs="Times New Roman" w:eastAsia="Times New Roman" w:hAnsi="Times New Roman"/>
          <w:sz w:val="14"/>
          <w:szCs w:val="14"/>
          <w:color w:val="auto"/>
        </w:rPr>
        <w:t>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92" w:lineRule="exact"/>
        <w:rPr>
          <w:sz w:val="20"/>
          <w:szCs w:val="20"/>
          <w:color w:val="auto"/>
        </w:rPr>
      </w:pPr>
    </w:p>
    <w:p>
      <w:pPr>
        <w:ind w:left="1380" w:right="399" w:firstLine="341"/>
        <w:spacing w:after="0" w:line="279" w:lineRule="auto"/>
        <w:rPr>
          <w:sz w:val="20"/>
          <w:szCs w:val="20"/>
          <w:color w:val="auto"/>
        </w:rPr>
      </w:pPr>
      <w:r>
        <w:rPr>
          <w:rFonts w:ascii="Times New Roman" w:cs="Times New Roman" w:eastAsia="Times New Roman" w:hAnsi="Times New Roman"/>
          <w:sz w:val="13"/>
          <w:szCs w:val="13"/>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2"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46"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69" w:lineRule="exact"/>
        <w:rPr>
          <w:sz w:val="20"/>
          <w:szCs w:val="20"/>
          <w:color w:val="auto"/>
        </w:rPr>
      </w:pPr>
    </w:p>
    <w:p>
      <w:pPr>
        <w:ind w:left="2140" w:right="339" w:hanging="343"/>
        <w:spacing w:after="0" w:line="265"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62" w:lineRule="exact"/>
        <w:rPr>
          <w:rFonts w:ascii="Times New Roman" w:cs="Times New Roman" w:eastAsia="Times New Roman" w:hAnsi="Times New Roman"/>
          <w:sz w:val="14"/>
          <w:szCs w:val="14"/>
          <w:color w:val="auto"/>
        </w:rPr>
      </w:pPr>
    </w:p>
    <w:p>
      <w:pPr>
        <w:ind w:left="2140" w:right="299" w:hanging="343"/>
        <w:spacing w:after="0" w:line="294" w:lineRule="auto"/>
        <w:tabs>
          <w:tab w:leader="none" w:pos="21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 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46" w:lineRule="exact"/>
        <w:rPr>
          <w:rFonts w:ascii="Times New Roman" w:cs="Times New Roman" w:eastAsia="Times New Roman" w:hAnsi="Times New Roman"/>
          <w:sz w:val="13"/>
          <w:szCs w:val="13"/>
          <w:color w:val="auto"/>
        </w:rPr>
      </w:pPr>
    </w:p>
    <w:p>
      <w:pPr>
        <w:ind w:left="2140" w:right="419" w:hanging="343"/>
        <w:spacing w:after="0" w:line="280"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If we authorize any shares of preferred stock with rights as to dividends or liquidation that are senior to the Class B common stock or the right to more than one vote for each share thereof.</w:t>
      </w:r>
    </w:p>
    <w:p>
      <w:pPr>
        <w:spacing w:after="0" w:line="126"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Pursuant to the Purchase Agreement, we have agreed to amend our amended and restated certificate of incorporation so that holders of Class B common stock would be entitled to cast one vote per share, we have also agreed to eliminate a separate Class B common stock vote in the circumstances described in subsection (b) and (c) above.</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 and Other Distributions</w:t>
      </w:r>
    </w:p>
    <w:p>
      <w:pPr>
        <w:spacing w:after="0" w:line="92"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Distribution on Dissolution</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On our liquidation, dissolution or winding up, holders of Class B common stock will not be entitled to receive any distribution of our assets.</w:t>
      </w:r>
    </w:p>
    <w:p>
      <w:pPr>
        <w:spacing w:after="0" w:line="2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Transfers</w:t>
      </w:r>
    </w:p>
    <w:p>
      <w:pPr>
        <w:spacing w:after="0" w:line="92"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92" w:lineRule="exact"/>
        <w:rPr>
          <w:sz w:val="20"/>
          <w:szCs w:val="20"/>
          <w:color w:val="auto"/>
        </w:rPr>
      </w:pPr>
    </w:p>
    <w:p>
      <w:pPr>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Class C Common Stock</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2" w:lineRule="exact"/>
        <w:rPr>
          <w:sz w:val="20"/>
          <w:szCs w:val="20"/>
          <w:color w:val="auto"/>
        </w:rPr>
      </w:pPr>
    </w:p>
    <w:p>
      <w:pPr>
        <w:ind w:left="1380" w:right="499" w:firstLine="341"/>
        <w:spacing w:after="0" w:line="280" w:lineRule="auto"/>
        <w:rPr>
          <w:sz w:val="20"/>
          <w:szCs w:val="20"/>
          <w:color w:val="auto"/>
        </w:rPr>
      </w:pPr>
      <w:r>
        <w:rPr>
          <w:rFonts w:ascii="Times New Roman" w:cs="Times New Roman" w:eastAsia="Times New Roman" w:hAnsi="Times New Roman"/>
          <w:sz w:val="14"/>
          <w:szCs w:val="14"/>
          <w:color w:val="auto"/>
        </w:rPr>
        <w:t>Holders of our Class C common stock are not entitled to vote on any matter that is submitted to a vote of the stockholders, except as otherwise required by law.</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 and Other Distributions</w:t>
      </w:r>
    </w:p>
    <w:p>
      <w:pPr>
        <w:spacing w:after="0" w:line="92" w:lineRule="exact"/>
        <w:rPr>
          <w:sz w:val="20"/>
          <w:szCs w:val="20"/>
          <w:color w:val="auto"/>
        </w:rPr>
      </w:pPr>
    </w:p>
    <w:p>
      <w:pPr>
        <w:jc w:val="both"/>
        <w:ind w:left="1380" w:right="519" w:firstLine="341"/>
        <w:spacing w:after="0" w:line="259" w:lineRule="auto"/>
        <w:rPr>
          <w:sz w:val="20"/>
          <w:szCs w:val="20"/>
          <w:color w:val="auto"/>
        </w:rPr>
      </w:pPr>
      <w:r>
        <w:rPr>
          <w:rFonts w:ascii="Times New Roman" w:cs="Times New Roman" w:eastAsia="Times New Roman" w:hAnsi="Times New Roman"/>
          <w:sz w:val="14"/>
          <w:szCs w:val="14"/>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Distribution on Dissolution</w:t>
      </w:r>
    </w:p>
    <w:p>
      <w:pPr>
        <w:spacing w:after="0" w:line="92" w:lineRule="exact"/>
        <w:rPr>
          <w:sz w:val="20"/>
          <w:szCs w:val="20"/>
          <w:color w:val="auto"/>
        </w:rPr>
      </w:pPr>
    </w:p>
    <w:p>
      <w:pPr>
        <w:ind w:left="1380" w:right="259" w:firstLine="341"/>
        <w:spacing w:after="0" w:line="259" w:lineRule="auto"/>
        <w:rPr>
          <w:sz w:val="20"/>
          <w:szCs w:val="20"/>
          <w:color w:val="auto"/>
        </w:rPr>
      </w:pPr>
      <w:r>
        <w:rPr>
          <w:rFonts w:ascii="Times New Roman" w:cs="Times New Roman" w:eastAsia="Times New Roman" w:hAnsi="Times New Roman"/>
          <w:sz w:val="14"/>
          <w:szCs w:val="14"/>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2" w:lineRule="exact"/>
        <w:rPr>
          <w:sz w:val="20"/>
          <w:szCs w:val="20"/>
          <w:color w:val="auto"/>
        </w:rPr>
      </w:pPr>
    </w:p>
    <w:p>
      <w:pPr>
        <w:ind w:left="1380" w:right="419" w:firstLine="341"/>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539"/>
        <w:spacing w:after="0" w:line="280" w:lineRule="auto"/>
        <w:rPr>
          <w:sz w:val="20"/>
          <w:szCs w:val="20"/>
          <w:color w:val="auto"/>
        </w:rPr>
      </w:pPr>
      <w:r>
        <w:rPr>
          <w:rFonts w:ascii="Times New Roman" w:cs="Times New Roman" w:eastAsia="Times New Roman" w:hAnsi="Times New Roman"/>
          <w:sz w:val="14"/>
          <w:szCs w:val="14"/>
          <w:color w:val="auto"/>
        </w:rPr>
        <w:t>liquidation preferences and the number of shares constituting any class or series, which may be greater than the rights of the holders of the common stock.</w:t>
      </w:r>
    </w:p>
    <w:p>
      <w:pPr>
        <w:spacing w:after="0" w:line="126"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Anti-Takeover Provisions of Delaware Law and Our Amended and Restated Certificate of Incorporation and Amended and Restated Bylaws</w:t>
      </w:r>
    </w:p>
    <w:p>
      <w:pPr>
        <w:spacing w:after="0" w:line="92" w:lineRule="exact"/>
        <w:rPr>
          <w:sz w:val="20"/>
          <w:szCs w:val="20"/>
          <w:color w:val="auto"/>
        </w:rPr>
      </w:pPr>
    </w:p>
    <w:p>
      <w:pPr>
        <w:ind w:left="1380" w:right="319" w:firstLine="341"/>
        <w:spacing w:after="0" w:line="259" w:lineRule="auto"/>
        <w:rPr>
          <w:sz w:val="20"/>
          <w:szCs w:val="20"/>
          <w:color w:val="auto"/>
        </w:rPr>
      </w:pPr>
      <w:r>
        <w:rPr>
          <w:rFonts w:ascii="Times New Roman" w:cs="Times New Roman" w:eastAsia="Times New Roman" w:hAnsi="Times New Roman"/>
          <w:sz w:val="14"/>
          <w:szCs w:val="14"/>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2" w:lineRule="exact"/>
        <w:rPr>
          <w:sz w:val="20"/>
          <w:szCs w:val="20"/>
          <w:color w:val="auto"/>
        </w:rPr>
      </w:pPr>
    </w:p>
    <w:p>
      <w:pPr>
        <w:ind w:left="1380" w:right="339" w:firstLine="341"/>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w:t>
      </w:r>
    </w:p>
    <w:p>
      <w:pPr>
        <w:spacing w:after="0" w:line="92" w:lineRule="exact"/>
        <w:rPr>
          <w:sz w:val="20"/>
          <w:szCs w:val="20"/>
          <w:color w:val="auto"/>
        </w:rPr>
      </w:pPr>
    </w:p>
    <w:p>
      <w:pPr>
        <w:ind w:left="1380" w:right="319" w:firstLine="341"/>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 Pursuant to the Purchase Agreement, we have agreed to amend our amended and restated certificate of incorporation to eliminate the option providing for a classified board of directors.</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92" w:lineRule="exact"/>
        <w:rPr>
          <w:sz w:val="20"/>
          <w:szCs w:val="20"/>
          <w:color w:val="auto"/>
        </w:rPr>
      </w:pPr>
    </w:p>
    <w:p>
      <w:pPr>
        <w:ind w:left="1380" w:right="359" w:firstLine="341"/>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Director Vacancies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Our amended and restated certificate of incorporation authorizes only our board of directors to fill vacant directorships.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92" w:lineRule="exact"/>
        <w:rPr>
          <w:sz w:val="20"/>
          <w:szCs w:val="20"/>
          <w:color w:val="auto"/>
        </w:rPr>
      </w:pPr>
    </w:p>
    <w:p>
      <w:pPr>
        <w:ind w:left="1380" w:right="779" w:firstLine="341"/>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stockholders do not have the right to cumulate votes in the election of directors.</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Special Meetings of Stockholders</w:t>
      </w:r>
    </w:p>
    <w:p>
      <w:pPr>
        <w:spacing w:after="0" w:line="92"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 Pursuant to the Purchase Agreement, we have agreed to amend our amended and restated certificate of incorporation to eliminate the ability of the holders of at least 25% of the voting power of our Class A common stock and Class B common stock, voting together as a single class, to call a special meeting.</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Procedures for Director Nominations</w:t>
      </w:r>
    </w:p>
    <w:p>
      <w:pPr>
        <w:spacing w:after="0" w:line="92"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Action by Written Consent</w:t>
      </w:r>
    </w:p>
    <w:p>
      <w:pPr>
        <w:spacing w:after="0" w:line="92" w:lineRule="exact"/>
        <w:rPr>
          <w:sz w:val="20"/>
          <w:szCs w:val="20"/>
          <w:color w:val="auto"/>
        </w:rPr>
      </w:pPr>
    </w:p>
    <w:p>
      <w:pPr>
        <w:ind w:left="1380" w:right="299" w:firstLine="341"/>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 Pursuant to the Purchase Agreement, we have agreed to amend our amended and restated certificate of incorporation to eliminate ability of stockholders to act by written consent.</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92" w:lineRule="exact"/>
        <w:rPr>
          <w:sz w:val="20"/>
          <w:szCs w:val="20"/>
          <w:color w:val="auto"/>
        </w:rPr>
      </w:pPr>
    </w:p>
    <w:p>
      <w:pPr>
        <w:ind w:left="1380" w:right="379" w:firstLine="341"/>
        <w:spacing w:after="0" w:line="257" w:lineRule="auto"/>
        <w:rPr>
          <w:sz w:val="20"/>
          <w:szCs w:val="20"/>
          <w:color w:val="auto"/>
        </w:rPr>
      </w:pPr>
      <w:r>
        <w:rPr>
          <w:rFonts w:ascii="Times New Roman" w:cs="Times New Roman" w:eastAsia="Times New Roman" w:hAnsi="Times New Roman"/>
          <w:sz w:val="14"/>
          <w:szCs w:val="14"/>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92" w:lineRule="exact"/>
        <w:rPr>
          <w:sz w:val="20"/>
          <w:szCs w:val="20"/>
          <w:color w:val="auto"/>
        </w:rPr>
      </w:pPr>
    </w:p>
    <w:p>
      <w:pPr>
        <w:ind w:left="1380" w:right="339" w:firstLine="341"/>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will be the sole and exclusive forum for the following types of actions or proceedings under Delaware statutory or common law:</w:t>
      </w:r>
    </w:p>
    <w:p>
      <w:pPr>
        <w:spacing w:after="0" w:line="53" w:lineRule="exact"/>
        <w:rPr>
          <w:sz w:val="20"/>
          <w:szCs w:val="20"/>
          <w:color w:val="auto"/>
        </w:rPr>
      </w:pPr>
    </w:p>
    <w:p>
      <w:pPr>
        <w:ind w:left="2140" w:hanging="343"/>
        <w:spacing w:after="0"/>
        <w:tabs>
          <w:tab w:leader="none" w:pos="2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right="419" w:hanging="343"/>
        <w:spacing w:after="0" w:line="280" w:lineRule="auto"/>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of breach of a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4"/>
          <w:szCs w:val="14"/>
          <w:color w:val="auto"/>
        </w:rPr>
      </w:pPr>
    </w:p>
    <w:p>
      <w:pPr>
        <w:ind w:left="2140" w:right="379" w:hanging="343"/>
        <w:spacing w:after="0" w:line="265" w:lineRule="auto"/>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w:t>
      </w:r>
    </w:p>
    <w:p>
      <w:pPr>
        <w:spacing w:after="0" w:line="62" w:lineRule="exact"/>
        <w:rPr>
          <w:rFonts w:ascii="Times New Roman" w:cs="Times New Roman" w:eastAsia="Times New Roman" w:hAnsi="Times New Roman"/>
          <w:sz w:val="14"/>
          <w:szCs w:val="14"/>
          <w:color w:val="auto"/>
        </w:rPr>
      </w:pPr>
    </w:p>
    <w:p>
      <w:pPr>
        <w:ind w:left="2140" w:right="399" w:hanging="343"/>
        <w:spacing w:after="0" w:line="280" w:lineRule="auto"/>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4"/>
          <w:szCs w:val="14"/>
          <w:color w:val="auto"/>
        </w:rPr>
      </w:pPr>
    </w:p>
    <w:p>
      <w:pPr>
        <w:ind w:left="2140" w:right="379" w:hanging="343"/>
        <w:spacing w:after="0" w:line="280" w:lineRule="auto"/>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of our directors, officers, or other employees governed by the internal affairs doctrine.</w:t>
      </w:r>
    </w:p>
    <w:p>
      <w:pPr>
        <w:spacing w:after="0" w:line="174" w:lineRule="exact"/>
        <w:rPr>
          <w:sz w:val="20"/>
          <w:szCs w:val="20"/>
          <w:color w:val="auto"/>
        </w:rPr>
      </w:pPr>
    </w:p>
    <w:p>
      <w:pPr>
        <w:ind w:left="1380" w:right="259"/>
        <w:spacing w:after="0" w:line="254" w:lineRule="auto"/>
        <w:rPr>
          <w:sz w:val="20"/>
          <w:szCs w:val="20"/>
          <w:color w:val="auto"/>
        </w:rPr>
      </w:pPr>
      <w:r>
        <w:rPr>
          <w:rFonts w:ascii="Times New Roman" w:cs="Times New Roman" w:eastAsia="Times New Roman" w:hAnsi="Times New Roman"/>
          <w:sz w:val="14"/>
          <w:szCs w:val="14"/>
          <w:color w:val="auto"/>
        </w:rPr>
        <w:t>In all the above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46"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 with Interested Stockholders</w:t>
      </w:r>
    </w:p>
    <w:p>
      <w:pPr>
        <w:spacing w:after="0" w:line="92" w:lineRule="exact"/>
        <w:rPr>
          <w:sz w:val="20"/>
          <w:szCs w:val="20"/>
          <w:color w:val="auto"/>
        </w:rPr>
      </w:pPr>
    </w:p>
    <w:p>
      <w:pPr>
        <w:jc w:val="both"/>
        <w:ind w:left="1380" w:right="359" w:firstLine="341"/>
        <w:spacing w:after="0" w:line="321" w:lineRule="auto"/>
        <w:rPr>
          <w:sz w:val="20"/>
          <w:szCs w:val="20"/>
          <w:color w:val="auto"/>
        </w:rPr>
      </w:pPr>
      <w:r>
        <w:rPr>
          <w:rFonts w:ascii="Times New Roman" w:cs="Times New Roman" w:eastAsia="Times New Roman" w:hAnsi="Times New Roman"/>
          <w:sz w:val="13"/>
          <w:szCs w:val="13"/>
          <w:color w:val="auto"/>
        </w:rPr>
        <w:t>We have elected not to be subject to or governed by Section 203 of the Delaware General Corporation Law. Pursuant to the Purchase Agreement, we have agreed to amend our amended and restated certificate of incorporation to be subject to Section 203 of the Delaware General Corporation Law.</w:t>
      </w:r>
    </w:p>
    <w:p>
      <w:pPr>
        <w:spacing w:after="0" w:line="102" w:lineRule="exact"/>
        <w:rPr>
          <w:sz w:val="20"/>
          <w:szCs w:val="20"/>
          <w:color w:val="auto"/>
        </w:rPr>
      </w:pPr>
    </w:p>
    <w:p>
      <w:pPr>
        <w:ind w:left="1380" w:right="279" w:firstLine="341"/>
        <w:spacing w:after="0" w:line="259" w:lineRule="auto"/>
        <w:rPr>
          <w:sz w:val="20"/>
          <w:szCs w:val="20"/>
          <w:color w:val="auto"/>
        </w:rPr>
      </w:pPr>
      <w:r>
        <w:rPr>
          <w:rFonts w:ascii="Times New Roman" w:cs="Times New Roman" w:eastAsia="Times New Roman" w:hAnsi="Times New Roman"/>
          <w:sz w:val="14"/>
          <w:szCs w:val="14"/>
          <w:color w:val="auto"/>
        </w:rPr>
        <w:t>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w:t>
      </w:r>
    </w:p>
    <w:p>
      <w:pPr>
        <w:spacing w:after="0" w:line="68" w:lineRule="exact"/>
        <w:rPr>
          <w:sz w:val="20"/>
          <w:szCs w:val="20"/>
          <w:color w:val="auto"/>
        </w:rPr>
      </w:pPr>
    </w:p>
    <w:p>
      <w:pPr>
        <w:ind w:left="2140" w:right="279" w:hanging="343"/>
        <w:spacing w:after="0" w:line="280"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of such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4"/>
          <w:szCs w:val="14"/>
          <w:color w:val="auto"/>
        </w:rPr>
      </w:pPr>
    </w:p>
    <w:p>
      <w:pPr>
        <w:jc w:val="both"/>
        <w:ind w:left="2140" w:right="299" w:hanging="343"/>
        <w:spacing w:after="0" w:line="276" w:lineRule="auto"/>
        <w:tabs>
          <w:tab w:leader="none" w:pos="21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w:t>
      </w:r>
    </w:p>
    <w:p>
      <w:pPr>
        <w:ind w:left="21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by persons who are directors and also officers of such corporation and (B) by employee</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2140" w:right="279"/>
        <w:spacing w:after="0" w:line="280" w:lineRule="auto"/>
        <w:rPr>
          <w:sz w:val="20"/>
          <w:szCs w:val="20"/>
          <w:color w:val="auto"/>
        </w:rPr>
      </w:pPr>
      <w:r>
        <w:rPr>
          <w:rFonts w:ascii="Times New Roman" w:cs="Times New Roman" w:eastAsia="Times New Roman" w:hAnsi="Times New Roman"/>
          <w:sz w:val="14"/>
          <w:szCs w:val="14"/>
          <w:color w:val="auto"/>
        </w:rPr>
        <w:t>stock plans in which employee participants do not have the right to determine confidentially whether shares held subject to the plan will be tendered in a tender or exchange offer); or</w:t>
      </w:r>
    </w:p>
    <w:p>
      <w:pPr>
        <w:spacing w:after="0" w:line="53" w:lineRule="exact"/>
        <w:rPr>
          <w:sz w:val="20"/>
          <w:szCs w:val="20"/>
          <w:color w:val="auto"/>
        </w:rPr>
      </w:pPr>
    </w:p>
    <w:p>
      <w:pPr>
        <w:ind w:left="2140" w:right="499" w:hanging="343"/>
        <w:spacing w:after="0" w:line="265" w:lineRule="auto"/>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2" w:lineRule="exact"/>
        <w:rPr>
          <w:sz w:val="20"/>
          <w:szCs w:val="20"/>
          <w:color w:val="auto"/>
        </w:rPr>
      </w:pPr>
    </w:p>
    <w:p>
      <w:pPr>
        <w:ind w:left="1380" w:right="399" w:firstLine="341"/>
        <w:spacing w:after="0" w:line="280" w:lineRule="auto"/>
        <w:rPr>
          <w:sz w:val="20"/>
          <w:szCs w:val="20"/>
          <w:color w:val="auto"/>
        </w:rPr>
      </w:pPr>
      <w:r>
        <w:rPr>
          <w:rFonts w:ascii="Times New Roman" w:cs="Times New Roman" w:eastAsia="Times New Roman" w:hAnsi="Times New Roman"/>
          <w:sz w:val="14"/>
          <w:szCs w:val="14"/>
          <w:color w:val="auto"/>
        </w:rPr>
        <w:t>Our Class A common stock is listed on the Nasdaq Global Market under the trading symbol “RANI.” We do not intend to list the common stock warrants or pre-funded warrants on any national securities exchange.</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transfer agent and registrar for our Class A common stock is Equiniti Trust Company, LLC.</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76" w:lineRule="exact"/>
        <w:rPr>
          <w:sz w:val="20"/>
          <w:szCs w:val="20"/>
          <w:color w:val="auto"/>
        </w:rPr>
      </w:pPr>
    </w:p>
    <w:p>
      <w:pPr>
        <w:ind w:left="1380" w:right="439" w:firstLine="341"/>
        <w:spacing w:after="0" w:line="280" w:lineRule="auto"/>
        <w:rPr>
          <w:sz w:val="20"/>
          <w:szCs w:val="20"/>
          <w:color w:val="auto"/>
        </w:rPr>
      </w:pPr>
      <w:r>
        <w:rPr>
          <w:rFonts w:ascii="Times New Roman" w:cs="Times New Roman" w:eastAsia="Times New Roman" w:hAnsi="Times New Roman"/>
          <w:sz w:val="14"/>
          <w:szCs w:val="14"/>
          <w:color w:val="auto"/>
        </w:rPr>
        <w:t>The selling stockholders may offer and sell, from time to time, any or all of the shares of Class A common stock being offered for resale by this prospectus, which consists of up to:</w:t>
      </w:r>
    </w:p>
    <w:p>
      <w:pPr>
        <w:spacing w:after="0" w:line="53" w:lineRule="exact"/>
        <w:rPr>
          <w:sz w:val="20"/>
          <w:szCs w:val="20"/>
          <w:color w:val="auto"/>
        </w:rPr>
      </w:pPr>
    </w:p>
    <w:p>
      <w:pPr>
        <w:ind w:left="2140" w:hanging="34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42,633,337 shares of Class A common stock issued to the selling stockholders;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125,000,004 shares of Class A common stock issuable to the selling stockholders upon the exercise of the common stock warrants; and</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82,366,667 shares of Class A common stock issuable to certain of the selling stockholders upon the exercise of the pre-funded warrants.</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For additional information regarding the issuance of these securities, see the section titled “Prospectus Summary—Private Placement.”</w:t>
      </w:r>
    </w:p>
    <w:p>
      <w:pPr>
        <w:spacing w:after="0" w:line="174" w:lineRule="exact"/>
        <w:rPr>
          <w:sz w:val="20"/>
          <w:szCs w:val="20"/>
          <w:color w:val="auto"/>
        </w:rPr>
      </w:pPr>
    </w:p>
    <w:p>
      <w:pPr>
        <w:ind w:left="1380" w:right="419" w:firstLine="341"/>
        <w:spacing w:after="0" w:line="280" w:lineRule="auto"/>
        <w:rPr>
          <w:sz w:val="20"/>
          <w:szCs w:val="20"/>
          <w:color w:val="auto"/>
        </w:rPr>
      </w:pPr>
      <w:r>
        <w:rPr>
          <w:rFonts w:ascii="Times New Roman" w:cs="Times New Roman" w:eastAsia="Times New Roman" w:hAnsi="Times New Roman"/>
          <w:sz w:val="14"/>
          <w:szCs w:val="14"/>
          <w:color w:val="auto"/>
        </w:rPr>
        <w:t>In addition to the transaction described in this prospectus, the selling stockholders have not had any material relationship with us within the past three years, except for:</w:t>
      </w:r>
    </w:p>
    <w:p>
      <w:pPr>
        <w:spacing w:after="0" w:line="53" w:lineRule="exact"/>
        <w:rPr>
          <w:sz w:val="20"/>
          <w:szCs w:val="20"/>
          <w:color w:val="auto"/>
        </w:rPr>
      </w:pPr>
    </w:p>
    <w:p>
      <w:pPr>
        <w:ind w:left="2140" w:hanging="34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our securities;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Mir Imran’s, the Executive Chairman of our board of directors, participation in the Private Placement;</w:t>
      </w:r>
    </w:p>
    <w:p>
      <w:pPr>
        <w:spacing w:after="0" w:line="100" w:lineRule="exact"/>
        <w:rPr>
          <w:rFonts w:ascii="Times New Roman" w:cs="Times New Roman" w:eastAsia="Times New Roman" w:hAnsi="Times New Roman"/>
          <w:sz w:val="14"/>
          <w:szCs w:val="14"/>
          <w:color w:val="auto"/>
        </w:rPr>
      </w:pPr>
    </w:p>
    <w:p>
      <w:pPr>
        <w:ind w:left="2140" w:right="559" w:hanging="343"/>
        <w:spacing w:after="0" w:line="280" w:lineRule="auto"/>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Samsara BioCapital’s Nomination Right (see the section titled “Description of Capital Stock – Samsara BioCapital Board Nomination Right”); and</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Anomaly Ventures’ Nomination Right (see the section titled “Description of Capital Stock – Anomaly Ventures Board Nomination Right”).</w:t>
      </w:r>
    </w:p>
    <w:p>
      <w:pPr>
        <w:spacing w:after="0" w:line="185" w:lineRule="exact"/>
        <w:rPr>
          <w:sz w:val="20"/>
          <w:szCs w:val="20"/>
          <w:color w:val="auto"/>
        </w:rPr>
      </w:pPr>
    </w:p>
    <w:p>
      <w:pPr>
        <w:ind w:left="1380" w:right="459" w:firstLine="341"/>
        <w:spacing w:after="0" w:line="265" w:lineRule="auto"/>
        <w:rPr>
          <w:sz w:val="20"/>
          <w:szCs w:val="20"/>
          <w:color w:val="auto"/>
        </w:rPr>
      </w:pPr>
      <w:r>
        <w:rPr>
          <w:rFonts w:ascii="Times New Roman" w:cs="Times New Roman" w:eastAsia="Times New Roman" w:hAnsi="Times New Roman"/>
          <w:sz w:val="14"/>
          <w:szCs w:val="14"/>
          <w:color w:val="auto"/>
        </w:rPr>
        <w:t>As used in this prospectus, the term “selling stockholder” includes the selling stockholder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36"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In accordance with the terms of the Registration Rights Agreement, this prospectus covers the resale of the maximum number of shares of Class A common stock issuable upon exercise of the common stock warrants and pre-funded warrants without regard to any limitations on the exercise of such warrant. Under the terms of the common stock warrants and pre-funded warrants held by the selling stockholders, the selling stockholders may not exercise any such warrant to the extent such exercise would cause such selling stockholder, together with its affiliates and attribution parties, to beneficially own a number of shares of Class A common stock which would exceed 4.99% or 9.99%, as applicable, of our then outstanding shares Class A common stock following such exercise, excluding for purposes of such determination shares of Class A common stock issuable upon exercise of such warrant which have not been exercised. The shares reported under “Beneficial Ownership Prior to This Offering” and “Number of Shares Being Offered” in the table below do not give effect to any such beneficial ownership limitation.</w:t>
      </w:r>
    </w:p>
    <w:p>
      <w:pPr>
        <w:spacing w:after="0" w:line="148"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The table below lists the selling stockholders and other information regarding the beneficial ownership of the shares of Class A common stock by the selling stockholders as of October 31, 2025, assuming the full exercise of the warrants held by the selling stockholder on that date, without regard to any limitations on exercises. As of October 31, 2025, we had 121,511,580 shares of capital stock issued and outstanding. The following table also provides the number of shares of Class A common stock that may be sold by the selling stockholder under this prospectus and that the selling stockholder will beneficially own assuming all the shares of Class A common stock that may be offered pursuant to this prospectus are sold. Because the selling stockholder may dispose of all, none or some portion of its shares of Class A common stock, no estimate can be given as to the number of shares of Class A common stock that will be beneficially owned by the selling stockholder upon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299"/>
        <w:spacing w:after="0" w:line="255" w:lineRule="auto"/>
        <w:rPr>
          <w:sz w:val="20"/>
          <w:szCs w:val="20"/>
          <w:color w:val="auto"/>
        </w:rPr>
      </w:pPr>
      <w:r>
        <w:rPr>
          <w:rFonts w:ascii="Times New Roman" w:cs="Times New Roman" w:eastAsia="Times New Roman" w:hAnsi="Times New Roman"/>
          <w:sz w:val="14"/>
          <w:szCs w:val="14"/>
          <w:color w:val="auto"/>
        </w:rPr>
        <w:t>termination of this offering. For purposes of the table below, however, we have assumed that after termination of this offering none of the shares of Class A common stock covered by this prospectus will be beneficially owned by the selling stockholder and further assumed that the selling stockholder will not acquire beneficial ownership of any additional securities during the offering. In addition, the selling stockholder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See the section titled “Plan of Distribution.”</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Beneficial</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0" w:type="dxa"/>
            <w:vAlign w:val="bottom"/>
            <w:gridSpan w:val="3"/>
          </w:tcPr>
          <w:p>
            <w:pPr>
              <w:jc w:val="center"/>
              <w:ind w:left="271"/>
              <w:spacing w:after="0" w:line="124" w:lineRule="exact"/>
              <w:rPr>
                <w:sz w:val="20"/>
                <w:szCs w:val="20"/>
                <w:color w:val="auto"/>
              </w:rPr>
            </w:pPr>
            <w:r>
              <w:rPr>
                <w:rFonts w:ascii="Times New Roman" w:cs="Times New Roman" w:eastAsia="Times New Roman" w:hAnsi="Times New Roman"/>
                <w:sz w:val="11"/>
                <w:szCs w:val="11"/>
                <w:b w:val="1"/>
                <w:bCs w:val="1"/>
                <w:color w:val="auto"/>
              </w:rPr>
              <w:t>Ownership Prior to</w:t>
            </w:r>
          </w:p>
        </w:tc>
        <w:tc>
          <w:tcPr>
            <w:tcW w:w="7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360" w:type="dxa"/>
            <w:vAlign w:val="bottom"/>
          </w:tcPr>
          <w:p>
            <w:pPr>
              <w:spacing w:after="0"/>
              <w:rPr>
                <w:sz w:val="10"/>
                <w:szCs w:val="10"/>
                <w:color w:val="auto"/>
              </w:rPr>
            </w:pPr>
          </w:p>
        </w:tc>
        <w:tc>
          <w:tcPr>
            <w:tcW w:w="1520" w:type="dxa"/>
            <w:vAlign w:val="bottom"/>
            <w:gridSpan w:val="4"/>
          </w:tcPr>
          <w:p>
            <w:pPr>
              <w:ind w:left="160"/>
              <w:spacing w:after="0" w:line="124" w:lineRule="exact"/>
              <w:rPr>
                <w:sz w:val="20"/>
                <w:szCs w:val="20"/>
                <w:color w:val="auto"/>
              </w:rPr>
            </w:pPr>
            <w:r>
              <w:rPr>
                <w:rFonts w:ascii="Times New Roman" w:cs="Times New Roman" w:eastAsia="Times New Roman" w:hAnsi="Times New Roman"/>
                <w:sz w:val="11"/>
                <w:szCs w:val="11"/>
                <w:b w:val="1"/>
                <w:bCs w:val="1"/>
                <w:color w:val="auto"/>
              </w:rPr>
              <w:t>Beneficial Ownership</w:t>
            </w:r>
          </w:p>
        </w:tc>
        <w:tc>
          <w:tcPr>
            <w:tcW w:w="0" w:type="dxa"/>
            <w:vAlign w:val="bottom"/>
          </w:tcPr>
          <w:p>
            <w:pPr>
              <w:spacing w:after="0"/>
              <w:rPr>
                <w:sz w:val="1"/>
                <w:szCs w:val="1"/>
                <w:color w:val="auto"/>
              </w:rPr>
            </w:pPr>
          </w:p>
        </w:tc>
      </w:tr>
      <w:tr>
        <w:trPr>
          <w:trHeight w:val="125"/>
        </w:trPr>
        <w:tc>
          <w:tcPr>
            <w:tcW w:w="340" w:type="dxa"/>
            <w:vAlign w:val="bottom"/>
            <w:vMerge w:val="restart"/>
          </w:tcPr>
          <w:p>
            <w:pPr>
              <w:spacing w:after="0"/>
              <w:rPr>
                <w:sz w:val="10"/>
                <w:szCs w:val="10"/>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186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1"/>
                <w:szCs w:val="11"/>
                <w:b w:val="1"/>
                <w:bCs w:val="1"/>
                <w:color w:val="auto"/>
              </w:rPr>
              <w:t>This Offering</w:t>
            </w: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1"/>
                <w:szCs w:val="11"/>
                <w:b w:val="1"/>
                <w:bCs w:val="1"/>
                <w:color w:val="auto"/>
              </w:rPr>
              <w:t>Shares Being</w:t>
            </w:r>
          </w:p>
        </w:tc>
        <w:tc>
          <w:tcPr>
            <w:tcW w:w="360" w:type="dxa"/>
            <w:vAlign w:val="bottom"/>
          </w:tcPr>
          <w:p>
            <w:pPr>
              <w:spacing w:after="0"/>
              <w:rPr>
                <w:sz w:val="10"/>
                <w:szCs w:val="10"/>
                <w:color w:val="auto"/>
              </w:rPr>
            </w:pPr>
          </w:p>
        </w:tc>
        <w:tc>
          <w:tcPr>
            <w:tcW w:w="1520" w:type="dxa"/>
            <w:vAlign w:val="bottom"/>
            <w:gridSpan w:val="4"/>
          </w:tcPr>
          <w:p>
            <w:pPr>
              <w:ind w:left="160"/>
              <w:spacing w:after="0" w:line="126" w:lineRule="exact"/>
              <w:rPr>
                <w:sz w:val="20"/>
                <w:szCs w:val="20"/>
                <w:color w:val="auto"/>
              </w:rPr>
            </w:pPr>
            <w:r>
              <w:rPr>
                <w:rFonts w:ascii="Times New Roman" w:cs="Times New Roman" w:eastAsia="Times New Roman" w:hAnsi="Times New Roman"/>
                <w:sz w:val="11"/>
                <w:szCs w:val="11"/>
                <w:b w:val="1"/>
                <w:bCs w:val="1"/>
                <w:color w:val="auto"/>
              </w:rPr>
              <w:t>After This Offering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15"/>
        </w:trPr>
        <w:tc>
          <w:tcPr>
            <w:tcW w:w="340" w:type="dxa"/>
            <w:vAlign w:val="bottom"/>
            <w:vMerge w:val="continue"/>
          </w:tcPr>
          <w:p>
            <w:pPr>
              <w:spacing w:after="0"/>
              <w:rPr>
                <w:sz w:val="10"/>
                <w:szCs w:val="10"/>
                <w:color w:val="auto"/>
              </w:rPr>
            </w:pPr>
          </w:p>
        </w:tc>
        <w:tc>
          <w:tcPr>
            <w:tcW w:w="1360" w:type="dxa"/>
            <w:vAlign w:val="bottom"/>
            <w:tcBorders>
              <w:bottom w:val="single" w:sz="8" w:color="auto"/>
            </w:tcBorders>
            <w:gridSpan w:val="2"/>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Borders>
              <w:top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spacing w:after="0"/>
              <w:rPr>
                <w:sz w:val="10"/>
                <w:szCs w:val="10"/>
                <w:color w:val="auto"/>
              </w:rPr>
            </w:pPr>
          </w:p>
        </w:tc>
        <w:tc>
          <w:tcPr>
            <w:tcW w:w="740" w:type="dxa"/>
            <w:vAlign w:val="bottom"/>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Offered</w:t>
            </w:r>
            <w:r>
              <w:rPr>
                <w:rFonts w:ascii="Times New Roman" w:cs="Times New Roman" w:eastAsia="Times New Roman" w:hAnsi="Times New Roman"/>
                <w:sz w:val="8"/>
                <w:szCs w:val="8"/>
                <w:b w:val="1"/>
                <w:bCs w:val="1"/>
                <w:color w:val="auto"/>
              </w:rPr>
              <w:t>(2)</w:t>
            </w:r>
          </w:p>
        </w:tc>
        <w:tc>
          <w:tcPr>
            <w:tcW w:w="360" w:type="dxa"/>
            <w:vAlign w:val="bottom"/>
          </w:tcPr>
          <w:p>
            <w:pPr>
              <w:spacing w:after="0"/>
              <w:rPr>
                <w:sz w:val="10"/>
                <w:szCs w:val="10"/>
                <w:color w:val="auto"/>
              </w:rPr>
            </w:pPr>
          </w:p>
        </w:tc>
        <w:tc>
          <w:tcPr>
            <w:tcW w:w="1020" w:type="dxa"/>
            <w:vAlign w:val="bottom"/>
            <w:tcBorders>
              <w:top w:val="single" w:sz="8" w:color="auto"/>
            </w:tcBorders>
            <w:gridSpan w:val="2"/>
          </w:tcPr>
          <w:p>
            <w:pPr>
              <w:ind w:left="160"/>
              <w:spacing w:after="0" w:line="9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Borders>
              <w:top w:val="single" w:sz="8" w:color="auto"/>
            </w:tcBorders>
          </w:tcPr>
          <w:p>
            <w:pPr>
              <w:jc w:val="right"/>
              <w:ind w:right="71"/>
              <w:spacing w:after="0" w:line="95"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220" w:type="dxa"/>
            <w:vAlign w:val="bottom"/>
            <w:tcBorders>
              <w:top w:val="single" w:sz="8" w:color="CCEEFF"/>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2"/>
                <w:szCs w:val="12"/>
                <w:color w:val="auto"/>
              </w:rPr>
              <w:t>Entities affiliated with Avenue Venture</w:t>
            </w:r>
            <w:r>
              <w:rPr>
                <w:rFonts w:ascii="Times New Roman" w:cs="Times New Roman" w:eastAsia="Times New Roman" w:hAnsi="Times New Roman"/>
                <w:sz w:val="17"/>
                <w:szCs w:val="17"/>
                <w:color w:val="auto"/>
                <w:vertAlign w:val="superscript"/>
              </w:rPr>
              <w:t>(3)</w:t>
            </w:r>
          </w:p>
        </w:tc>
        <w:tc>
          <w:tcPr>
            <w:tcW w:w="7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25,076,335</w:t>
            </w:r>
          </w:p>
        </w:tc>
        <w:tc>
          <w:tcPr>
            <w:tcW w:w="3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25,000,000</w:t>
            </w: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76,335</w:t>
            </w: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tcPr>
          <w:p>
            <w:pPr>
              <w:spacing w:after="0" w:line="167" w:lineRule="exact"/>
              <w:rPr>
                <w:sz w:val="20"/>
                <w:szCs w:val="20"/>
                <w:color w:val="auto"/>
              </w:rPr>
            </w:pPr>
            <w:r>
              <w:rPr>
                <w:rFonts w:ascii="Times New Roman" w:cs="Times New Roman" w:eastAsia="Times New Roman" w:hAnsi="Times New Roman"/>
                <w:sz w:val="13"/>
                <w:szCs w:val="13"/>
                <w:color w:val="auto"/>
              </w:rPr>
              <w:t>GRATIA HOLDING LTD</w:t>
            </w:r>
            <w:r>
              <w:rPr>
                <w:rFonts w:ascii="Times New Roman" w:cs="Times New Roman" w:eastAsia="Times New Roman" w:hAnsi="Times New Roman"/>
                <w:sz w:val="19"/>
                <w:szCs w:val="19"/>
                <w:color w:val="auto"/>
                <w:vertAlign w:val="superscript"/>
              </w:rPr>
              <w:t>(4)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3,020,796</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2,847,224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173,572</w:t>
            </w: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Ilya Kravets</w:t>
            </w:r>
            <w:r>
              <w:rPr>
                <w:rFonts w:ascii="Times New Roman" w:cs="Times New Roman" w:eastAsia="Times New Roman" w:hAnsi="Times New Roman"/>
                <w:sz w:val="19"/>
                <w:szCs w:val="19"/>
                <w:color w:val="auto"/>
                <w:vertAlign w:val="superscript"/>
              </w:rPr>
              <w:t>(5)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1,041,668</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1,041,668</w:t>
            </w:r>
          </w:p>
        </w:tc>
        <w:tc>
          <w:tcPr>
            <w:tcW w:w="3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tcPr>
          <w:p>
            <w:pPr>
              <w:spacing w:after="0" w:line="167" w:lineRule="exact"/>
              <w:rPr>
                <w:sz w:val="20"/>
                <w:szCs w:val="20"/>
                <w:color w:val="auto"/>
              </w:rPr>
            </w:pPr>
            <w:r>
              <w:rPr>
                <w:rFonts w:ascii="Times New Roman" w:cs="Times New Roman" w:eastAsia="Times New Roman" w:hAnsi="Times New Roman"/>
                <w:sz w:val="13"/>
                <w:szCs w:val="13"/>
                <w:color w:val="auto"/>
              </w:rPr>
              <w:t>Entities affiliated with Invus</w:t>
            </w:r>
            <w:r>
              <w:rPr>
                <w:rFonts w:ascii="Times New Roman" w:cs="Times New Roman" w:eastAsia="Times New Roman" w:hAnsi="Times New Roman"/>
                <w:sz w:val="19"/>
                <w:szCs w:val="19"/>
                <w:color w:val="auto"/>
                <w:vertAlign w:val="superscript"/>
              </w:rPr>
              <w:t>(6)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20,833,334</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20,833,334</w:t>
            </w:r>
          </w:p>
        </w:tc>
        <w:tc>
          <w:tcPr>
            <w:tcW w:w="360" w:type="dxa"/>
            <w:vAlign w:val="bottom"/>
          </w:tcPr>
          <w:p>
            <w:pPr>
              <w:spacing w:after="0"/>
              <w:rPr>
                <w:sz w:val="14"/>
                <w:szCs w:val="14"/>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Mir Imran</w:t>
            </w:r>
            <w:r>
              <w:rPr>
                <w:rFonts w:ascii="Times New Roman" w:cs="Times New Roman" w:eastAsia="Times New Roman" w:hAnsi="Times New Roman"/>
                <w:sz w:val="19"/>
                <w:szCs w:val="19"/>
                <w:color w:val="auto"/>
                <w:vertAlign w:val="superscript"/>
              </w:rPr>
              <w:t>(7)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27,093,552</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4,166,668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22,926,884</w:t>
            </w:r>
          </w:p>
        </w:tc>
        <w:tc>
          <w:tcPr>
            <w:tcW w:w="3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18.24%</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tcPr>
          <w:p>
            <w:pPr>
              <w:spacing w:after="0" w:line="167" w:lineRule="exact"/>
              <w:rPr>
                <w:sz w:val="20"/>
                <w:szCs w:val="20"/>
                <w:color w:val="auto"/>
              </w:rPr>
            </w:pPr>
            <w:r>
              <w:rPr>
                <w:rFonts w:ascii="Times New Roman" w:cs="Times New Roman" w:eastAsia="Times New Roman" w:hAnsi="Times New Roman"/>
                <w:sz w:val="13"/>
                <w:szCs w:val="13"/>
                <w:color w:val="auto"/>
              </w:rPr>
              <w:t>RA Capital Healthcare Fund, L.P.</w:t>
            </w:r>
            <w:r>
              <w:rPr>
                <w:rFonts w:ascii="Times New Roman" w:cs="Times New Roman" w:eastAsia="Times New Roman" w:hAnsi="Times New Roman"/>
                <w:sz w:val="19"/>
                <w:szCs w:val="19"/>
                <w:color w:val="auto"/>
                <w:vertAlign w:val="superscript"/>
              </w:rPr>
              <w:t>(8)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60" w:type="dxa"/>
            <w:vAlign w:val="bottom"/>
          </w:tcPr>
          <w:p>
            <w:pPr>
              <w:spacing w:after="0"/>
              <w:rPr>
                <w:sz w:val="14"/>
                <w:szCs w:val="14"/>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Entities affiliated with Samsara BioCapital</w:t>
            </w:r>
            <w:r>
              <w:rPr>
                <w:rFonts w:ascii="Times New Roman" w:cs="Times New Roman" w:eastAsia="Times New Roman" w:hAnsi="Times New Roman"/>
                <w:sz w:val="19"/>
                <w:szCs w:val="19"/>
                <w:color w:val="auto"/>
                <w:vertAlign w:val="superscript"/>
              </w:rPr>
              <w:t>(9)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tcPr>
          <w:p>
            <w:pPr>
              <w:spacing w:after="0" w:line="167" w:lineRule="exact"/>
              <w:rPr>
                <w:sz w:val="20"/>
                <w:szCs w:val="20"/>
                <w:color w:val="auto"/>
              </w:rPr>
            </w:pPr>
            <w:r>
              <w:rPr>
                <w:rFonts w:ascii="Times New Roman" w:cs="Times New Roman" w:eastAsia="Times New Roman" w:hAnsi="Times New Roman"/>
                <w:sz w:val="13"/>
                <w:szCs w:val="13"/>
                <w:color w:val="auto"/>
              </w:rPr>
              <w:t>Entities affiliated with Special Situations</w:t>
            </w:r>
            <w:r>
              <w:rPr>
                <w:rFonts w:ascii="Times New Roman" w:cs="Times New Roman" w:eastAsia="Times New Roman" w:hAnsi="Times New Roman"/>
                <w:sz w:val="19"/>
                <w:szCs w:val="19"/>
                <w:color w:val="auto"/>
                <w:vertAlign w:val="superscript"/>
              </w:rPr>
              <w:t>(10)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37,500,000</w:t>
            </w:r>
          </w:p>
        </w:tc>
        <w:tc>
          <w:tcPr>
            <w:tcW w:w="360" w:type="dxa"/>
            <w:vAlign w:val="bottom"/>
          </w:tcPr>
          <w:p>
            <w:pPr>
              <w:spacing w:after="0"/>
              <w:rPr>
                <w:sz w:val="14"/>
                <w:szCs w:val="14"/>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Stalex Cayman Limited</w:t>
            </w:r>
            <w:r>
              <w:rPr>
                <w:rFonts w:ascii="Times New Roman" w:cs="Times New Roman" w:eastAsia="Times New Roman" w:hAnsi="Times New Roman"/>
                <w:sz w:val="19"/>
                <w:szCs w:val="19"/>
                <w:color w:val="auto"/>
                <w:vertAlign w:val="superscript"/>
              </w:rPr>
              <w:t>(11)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3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tcPr>
          <w:p>
            <w:pPr>
              <w:spacing w:after="0" w:line="167" w:lineRule="exact"/>
              <w:rPr>
                <w:sz w:val="20"/>
                <w:szCs w:val="20"/>
                <w:color w:val="auto"/>
              </w:rPr>
            </w:pPr>
            <w:r>
              <w:rPr>
                <w:rFonts w:ascii="Times New Roman" w:cs="Times New Roman" w:eastAsia="Times New Roman" w:hAnsi="Times New Roman"/>
                <w:sz w:val="13"/>
                <w:szCs w:val="13"/>
                <w:color w:val="auto"/>
              </w:rPr>
              <w:t>Stuywater Capital LLC</w:t>
            </w:r>
            <w:r>
              <w:rPr>
                <w:rFonts w:ascii="Times New Roman" w:cs="Times New Roman" w:eastAsia="Times New Roman" w:hAnsi="Times New Roman"/>
                <w:sz w:val="19"/>
                <w:szCs w:val="19"/>
                <w:color w:val="auto"/>
                <w:vertAlign w:val="superscript"/>
              </w:rPr>
              <w:t>(12)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4,166,668</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4,166,668</w:t>
            </w:r>
          </w:p>
        </w:tc>
        <w:tc>
          <w:tcPr>
            <w:tcW w:w="360" w:type="dxa"/>
            <w:vAlign w:val="bottom"/>
          </w:tcPr>
          <w:p>
            <w:pPr>
              <w:spacing w:after="0"/>
              <w:rPr>
                <w:sz w:val="14"/>
                <w:szCs w:val="14"/>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UOITO FO AG</w:t>
            </w:r>
            <w:r>
              <w:rPr>
                <w:rFonts w:ascii="Times New Roman" w:cs="Times New Roman" w:eastAsia="Times New Roman" w:hAnsi="Times New Roman"/>
                <w:sz w:val="19"/>
                <w:szCs w:val="19"/>
                <w:color w:val="auto"/>
                <w:vertAlign w:val="superscript"/>
              </w:rPr>
              <w:t>(13)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2,175,119</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2,013,890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161,229</w:t>
            </w: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3220" w:type="dxa"/>
            <w:vAlign w:val="bottom"/>
            <w:gridSpan w:val="3"/>
          </w:tcPr>
          <w:p>
            <w:pPr>
              <w:spacing w:after="0" w:line="167" w:lineRule="exact"/>
              <w:rPr>
                <w:sz w:val="20"/>
                <w:szCs w:val="20"/>
                <w:color w:val="auto"/>
              </w:rPr>
            </w:pPr>
            <w:r>
              <w:rPr>
                <w:rFonts w:ascii="Times New Roman" w:cs="Times New Roman" w:eastAsia="Times New Roman" w:hAnsi="Times New Roman"/>
                <w:sz w:val="13"/>
                <w:szCs w:val="13"/>
                <w:color w:val="auto"/>
              </w:rPr>
              <w:t>VEGA IV LIMITED</w:t>
            </w:r>
            <w:r>
              <w:rPr>
                <w:rFonts w:ascii="Times New Roman" w:cs="Times New Roman" w:eastAsia="Times New Roman" w:hAnsi="Times New Roman"/>
                <w:sz w:val="19"/>
                <w:szCs w:val="19"/>
                <w:color w:val="auto"/>
                <w:vertAlign w:val="superscript"/>
              </w:rPr>
              <w:t>(14)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2,591,785</w:t>
            </w:r>
          </w:p>
        </w:tc>
        <w:tc>
          <w:tcPr>
            <w:tcW w:w="3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2,430,556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161,229</w:t>
            </w: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Shares Being Offered</w:t>
            </w: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250,000,008</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20" w:hanging="342"/>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1" w:lineRule="exact"/>
        <w:rPr>
          <w:sz w:val="20"/>
          <w:szCs w:val="20"/>
          <w:color w:val="auto"/>
        </w:rPr>
      </w:pPr>
    </w:p>
    <w:p>
      <w:pPr>
        <w:ind w:left="1720" w:hanging="342"/>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each selling stockholder sells the maximum number of shares of our Class A common stock possible in this offering.</w:t>
      </w:r>
    </w:p>
    <w:p>
      <w:pPr>
        <w:spacing w:after="0" w:line="6" w:lineRule="exact"/>
        <w:rPr>
          <w:rFonts w:ascii="Times New Roman" w:cs="Times New Roman" w:eastAsia="Times New Roman" w:hAnsi="Times New Roman"/>
          <w:sz w:val="14"/>
          <w:szCs w:val="14"/>
          <w:color w:val="auto"/>
        </w:rPr>
      </w:pPr>
    </w:p>
    <w:p>
      <w:pPr>
        <w:ind w:left="1720" w:right="359" w:hanging="342"/>
        <w:spacing w:after="0" w:line="249"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of the shares of our Class A common stock that the selling stockholders may offer and sell from time to time under this prospectus without giving effect to the beneficial ownership limitation in the common stock warrants and pre-funded warrants.</w:t>
      </w:r>
    </w:p>
    <w:p>
      <w:pPr>
        <w:ind w:left="1720" w:right="259" w:hanging="342"/>
        <w:spacing w:after="0" w:line="250"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1,466,667 shares of Class A common stock issued in the Private Placement to Avenue Global Dislocation Opportunities Fund, L.P., or Avenue Global; (ii) 1,173,333 shares of Class A common stock issued in the Private Placement to Avenue Venture Opportunities Fund, L.P., or Avenue Venture Opportunities; (iii) 1,760,000 shares of Class A common stock issued in the Private Placement to Avenue Venture Opportunities Fund II, L.P., or Avenue Venture Opportunities II; (iv) 4,166,667 shares of Class A common stock issuable upon exercise of common stock warrants to Avenue Global; (v) 3,333,333 shares of Class A common stock issuable upon exercise of common stock warrants to Avenue Venture Opportunities; (vi) 5,000,000 shares of Class A common stock issuable upon exercise of common stock warrants to Avenue Venture Opportunities II; (vii) 2,700,000 shares of Class A common stock issuable upon exercise of pre-funded warrants to Avenue Global; (viii) 2,160,000 shares of Class A common stock issuable upon exercise of pre-funded warrants to Avenue Venture Opportunities; and (ix) 3,240,000 shares of Class A common stock issuable upon exercise of pre-funded warrants to Avenue Venture Opportunities II. Avenue Capital Management II, L.P., in its capacity as investment manager, trading advisor, and/or general partner, may be deemed the beneficial owner of the shares held by Avenue Global, Avenue Venture Opportunities and Avenue Venture Opportunities II, or collectively, the Avenue Funds. Avenue Capital Management II GenPar, LLC is the general partner of Avenue Capital Management II, L.P. Marc Lasry is the managing member of Avenue Capital Management II GenPar, LLC. Mr. Lasry may be deemed to be the indirect</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720" w:right="279"/>
        <w:spacing w:after="0" w:line="225" w:lineRule="auto"/>
        <w:rPr>
          <w:sz w:val="20"/>
          <w:szCs w:val="20"/>
          <w:color w:val="auto"/>
        </w:rPr>
      </w:pPr>
      <w:r>
        <w:rPr>
          <w:rFonts w:ascii="Times New Roman" w:cs="Times New Roman" w:eastAsia="Times New Roman" w:hAnsi="Times New Roman"/>
          <w:sz w:val="14"/>
          <w:szCs w:val="14"/>
          <w:color w:val="auto"/>
        </w:rPr>
        <w:t>beneficial owner of the securities reported by the Avenue Funds by reason of his ability to direct the vote and/or disposition of such securities, and his pecuniary interest in such shares (within the meaning of Rule 16a-1(a)(2) under the Exchange Act) is a fractional interest in such amount. The address of each of the foregoing entities is c/o Avenue Capital Management II, L.P., 11 West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9th Floor, New York, NY 10036.</w:t>
      </w:r>
    </w:p>
    <w:p>
      <w:pPr>
        <w:ind w:left="1720" w:right="319" w:hanging="342"/>
        <w:spacing w:after="0" w:line="249"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1,423,612 shares of Class A common stock issued in the Private Placement to GRATIA HOLDING LTD, or GRATIA; (ii) 1,423,612 shares of Class A common stock issuable upon exercise of the common stock warrants to GRATIA; (iii) 161,229 shares of Class A common stock held by Bossa Ventures Group Corp, or BV Group; and (iv) 12,343 shares of Class A common stock held by VH Molll Fund I, LP, or VH Molll Fund. BV Group is equally owned by GRATIA, UOITO FO AG, or UOITO, and VEGA IV LIMITED, or VEGA. GRATIA has the majority ownership of VH Molll Fund. Jorge Moll is the sole owner of GRATIA and holds the voting control and investment discretion over the securities reported herein. The address for GRATIA is 1200 Brickell, Avenue #1220, Miami, Florida 33131.</w:t>
      </w:r>
    </w:p>
    <w:p>
      <w:pPr>
        <w:ind w:left="1720" w:right="279" w:hanging="342"/>
        <w:spacing w:after="0" w:line="249"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520,834 shares of Class A common stock issued in the Private Placement to Ilya Kravets and (ii) 520,834 shares of Class A common stock issuable upon exercise of the common stock warrants to Mr. Kravets. Mr. Kravets holds the sole voting control and investment discretion over the securities and is affiliated with H.C. Wainwright &amp; Co., LLC, a broker-deal and our placement agent for the Private Placement, with a registered address of 430 Park Ave, 3rd Floor, New York, NY 10022.</w:t>
      </w:r>
    </w:p>
    <w:p>
      <w:pPr>
        <w:spacing w:after="0" w:line="1" w:lineRule="exact"/>
        <w:rPr>
          <w:rFonts w:ascii="Times New Roman" w:cs="Times New Roman" w:eastAsia="Times New Roman" w:hAnsi="Times New Roman"/>
          <w:sz w:val="14"/>
          <w:szCs w:val="14"/>
          <w:color w:val="auto"/>
        </w:rPr>
      </w:pPr>
    </w:p>
    <w:p>
      <w:pPr>
        <w:ind w:left="1720" w:right="259" w:hanging="342"/>
        <w:spacing w:after="0" w:line="270" w:lineRule="auto"/>
        <w:tabs>
          <w:tab w:leader="none" w:pos="17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1,754,011 shares of Class A common stock issued in the Private Placement to Invus Public Equities, L.P., or Invus PE; (ii) 245,989 shares of Class A common stock issued in the Private Placement to Avicenna Life Sci Master Fund LP, or Avicenna; (iii) 9,135,473 shares of Class A common stock issuable upon exercise of the common stock warrants to Invus PE; (iv) 1,281,194 shares of Class A common stock issuable upon exercise of the common stock warrants to Avicenna; (v) 7,381,462 shares of Class A common stock issuable upon exercise of the pre-funded warrants to Invus PE; and (vi) 1,035,205 shares of Class A common stock issuable upon exercise of the pre-funded warrants to Avicenna. Invus Public Equities Advisors, LLC, or Invus PE Advisors, as the general partner of Invus PE, controls Invus PE and, accordingly, may be deemed to beneficially own the shares directly held by Invus PE. Invus Global Management, LLC, or Global Management, as the managing member of Invus PE Advisors, controls Invus PE Advisors and, accordingly, may be deemed to beneficially own the shares that Invus PE Advisors may be deemed to beneficially own. Siren, L.L.C., or Siren, as the managing member of Global Management, controls Global Management and, accordingly, may be deemed to beneficially own the shares that Global Management may be deemed to beneficially own. Avicenna Life Sci Master GP LLC, or Avicenna GP, as the general partner of Avicenna, controls Avicenna and, accordingly, may be deemed to beneficially own the Shares beneficially held by Avicenna. Ulys, as the managing member of Avicenna GP, controls Avicenna GP and, accordingly, may be deemed to beneficially own the shares that Avicenna GP may be deemed to beneficially own. Mr. Raymond Debbane, as the managing member of Siren and Ulys L.L.C., or Ulys, controls Siren and Ulys and, accordingly, may be deemed to beneficially own the shares that Siren and Ulys may be deemed to beneficially own. The address of Invus Public Equities and its affiliates is 750 Lexington Avenue, 30th Floor, New York, NY 10022.</w:t>
      </w:r>
    </w:p>
    <w:p>
      <w:pPr>
        <w:spacing w:after="0" w:line="154" w:lineRule="exact"/>
        <w:rPr>
          <w:rFonts w:ascii="Times New Roman" w:cs="Times New Roman" w:eastAsia="Times New Roman" w:hAnsi="Times New Roman"/>
          <w:sz w:val="13"/>
          <w:szCs w:val="13"/>
          <w:color w:val="auto"/>
        </w:rPr>
      </w:pPr>
    </w:p>
    <w:p>
      <w:pPr>
        <w:ind w:left="1720" w:right="319" w:hanging="342"/>
        <w:spacing w:after="0" w:line="250"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2,083,334 shares of Class A common stock issued in the Private Placement to Mir Imran; (ii) 2,083,334 shares of Class A common stock issuable upon exercise of the common stock warrants to Mir Imran; (iii) 192,692 shares of Class A common stock underlying options that are exercisable within 60 days of October 31, 2025; (iv) 13,664 shares of Class A common stock held by InCube Labs, LLC, or ICL; (v) 22,411,124 shares of Class B common stock held by ICL; (vi) 7,694 shares of Class A common stock held by Rani Investment Corporation; (vii) 52,781 shares of Class A common stock held by InCube Ventures II; and (viii) 248,929 shares of Class A common stock issuable upon exchange of Class A common units of Rani Therapeutics, LLC held by InCube Ventures II. Mir Imran is the sole managing member of ICL, which is wholly-owned by Mir Imran and his family. InCube Ventures II is a limited partnership and its general partners are Mir Imran, Andrew Farquharson and Wayne Roe. Andrew Farquharson and Mir Imran are general partners of Rani Investment Corporation. The address of ICL, InCube Ventures II and Rani Investment Corporation is 2051 Ringwood Avenue, San Jose, California 95131.</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720" w:right="359" w:hanging="342"/>
        <w:spacing w:after="0" w:line="25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8,500,000 shares of Class A common stock issued in the Private Placement; (ii) 25,000,000 shares of Class A common stock issuable upon exercise of the common stock warrants; and (iii) 16,500,000 shares of Class A common stock issuable upon exercise of the pre-funded warrants to RA Capital Healthcare Fund, L.P., or RACHF. RA Capital Management, L.P. is the investment manager for RACHF.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RACHF. RA Capital Management, L.P., RA Capital Management GP, LLC,</w:t>
      </w:r>
    </w:p>
    <w:p>
      <w:pPr>
        <w:ind w:left="1720" w:right="43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Kolchinsky and Mr. Shah disclaim beneficial ownership of such shares, except to the extent of any pecuniary interest therein. The principal business address of the persons and entities listed above is 200 Berkeley Street, 18th Floor, Boston, MA 02116.</w:t>
      </w:r>
    </w:p>
    <w:p>
      <w:pPr>
        <w:ind w:left="1720" w:right="299" w:hanging="342"/>
        <w:spacing w:after="0" w:line="249"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4,250,000 shares of Class A common stock issued in the in the Private Placement to Samsara BioCapital, LP, or Samsara BioCapital; (ii) 4,250,000 shares of Class A common stock issued in the in the Private Placement to Samsara Opportunity Fund, LP, or Samsara Opportunity; (iii) 12,500,000 shares of Class A common stock issuable upon exercise of the common stock warrants to Samsara BioCapital; (iv) 12,500,000 shares of Class A common stock issuable upon exercise of the common stock warrants to Samsara Opportunity; (v) 8,250,000 shares of Class A common stock issuable upon exercise of the pre-funded warrants to Samsara BioCapital; and (vi) 8,250,000 shares of Class A common stock issuable upon exercise of the pre-funded warrants to Samsara Opportunity. Samsara BioCapital GP, LLC, or Samsara GP, is the sole general partner of Samsara BioCapital. Samsara Opportunity Fund GP, LLC, or Samsara Opportunity GP, is the sole general partner of Samsara Opportunity. Dr. Srinivas Akkaraju is the managing member of Samsara GP and Samsara Opportunity GP. Each of Samsara GP, Samsara Opportunity GP and Dr. Srinivas may be deemed to have voting and investment power over the shares held of record by Samsara LP. The address of the individual and entities referenced in this footnote is 628 Middlefield Road, Palo Alto, California 94301.</w:t>
      </w:r>
    </w:p>
    <w:p>
      <w:pPr>
        <w:spacing w:after="0" w:line="2" w:lineRule="exact"/>
        <w:rPr>
          <w:rFonts w:ascii="Times New Roman" w:cs="Times New Roman" w:eastAsia="Times New Roman" w:hAnsi="Times New Roman"/>
          <w:sz w:val="14"/>
          <w:szCs w:val="14"/>
          <w:color w:val="auto"/>
        </w:rPr>
      </w:pPr>
    </w:p>
    <w:p>
      <w:pPr>
        <w:ind w:left="1720" w:right="279" w:hanging="342"/>
        <w:spacing w:after="0" w:line="249"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1,145,491 shares of Class A common stock issued in the in the Private Placement to Special Situations Cayman Fund, L.P., or Special Situations Cayman; (ii) 4,054,509 shares of Class A common stock issued in the in the Private Placement to Special Situations Fund III QP, L.P., or Special Situations III; (iii) 1,300,000 shares of Class A common stock issued in the in the Private Placement to Special Situations Life Sciences Fund, L.P., or Special Situations LS; (iv) 3,304,300 shares of Class A common stock issuable upon exercise of the common stock warrants to Special Situations Cayman; (v) 11,695,700 shares of Class A common stock issuable upon exercise of the common stock warrants to Special Situations III; (vi) 3,750,000 shares of Class A common stock issuable upon exercise of the common stock warrants to Special Situations LS; (vii) 2,158,809 shares of Class A common stock issuable upon exercise of the pre-funded warrants to Special Situations Cayman; (viii) 7,641,191 shares of Class A common stock issuable upon exercise of the pre-funded warrants to Special Situations III; and (ix) 2,450,000 shares of Class A common stock issuable upon exercise of the pre-funded warrants to Special Situations LS. AWM Investment Company, Inc., or AWM, is the investment adviser to each of the Special Situations Funds. David Greenhouse and Adam Stettner are the principal owners of AWM. Through their control of AWM,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Special Situations Funds and Messrs. Greenhouse and Stettner is 527 Madison Avenue, Suite 2600, New York, NY 10022.</w:t>
      </w:r>
    </w:p>
    <w:p>
      <w:pPr>
        <w:spacing w:after="0" w:line="3" w:lineRule="exact"/>
        <w:rPr>
          <w:rFonts w:ascii="Times New Roman" w:cs="Times New Roman" w:eastAsia="Times New Roman" w:hAnsi="Times New Roman"/>
          <w:sz w:val="14"/>
          <w:szCs w:val="14"/>
          <w:color w:val="auto"/>
        </w:rPr>
      </w:pPr>
    </w:p>
    <w:p>
      <w:pPr>
        <w:ind w:left="1720" w:right="399" w:hanging="342"/>
        <w:spacing w:after="0" w:line="249"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4,400,000 shares of Class A common stock issued in the Private Placement to Stalex Cayman Limited, or Stalex; (ii) 25,000,000 shares of Class A common stock issuable upon exercise of the common stock warrants to Stalex; and (iii) 20,600,000 shares of Class A common stock issuable upon exercise of the pre-funded warrants to Stalex. Gunnar Dellner is the sole shareholder of Stalex. The address for Stalex is Panthera Corporate Services Limited, Suite 70702, 60 Nexus Way, KY1-9006, George Town, Cayman Islands.</w:t>
      </w:r>
    </w:p>
    <w:p>
      <w:pPr>
        <w:spacing w:after="0" w:line="1" w:lineRule="exact"/>
        <w:rPr>
          <w:rFonts w:ascii="Times New Roman" w:cs="Times New Roman" w:eastAsia="Times New Roman" w:hAnsi="Times New Roman"/>
          <w:sz w:val="14"/>
          <w:szCs w:val="14"/>
          <w:color w:val="auto"/>
        </w:rPr>
      </w:pPr>
    </w:p>
    <w:p>
      <w:pPr>
        <w:ind w:left="1720" w:right="679" w:hanging="342"/>
        <w:spacing w:after="0" w:line="258"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2,083,334 shares of Class A common stock issued in the Private Placement to Stuywater Capital LLC, or Stuywater; and (ii) 2,083,334 shares of Class A common stock issuable upon exercise of the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720" w:right="399"/>
        <w:spacing w:after="0" w:line="253" w:lineRule="auto"/>
        <w:rPr>
          <w:sz w:val="20"/>
          <w:szCs w:val="20"/>
          <w:color w:val="auto"/>
        </w:rPr>
      </w:pPr>
      <w:r>
        <w:rPr>
          <w:rFonts w:ascii="Times New Roman" w:cs="Times New Roman" w:eastAsia="Times New Roman" w:hAnsi="Times New Roman"/>
          <w:sz w:val="14"/>
          <w:szCs w:val="14"/>
          <w:color w:val="auto"/>
        </w:rPr>
        <w:t>common stock warrants to Stuywater. Noam Rubinstein, is the managing member of Stuywater and holds voting and dispositive power over the securities that are held by Stuywater. As a result, he may be deemed to have beneficial ownership (as determined under Section 13(d) of the Securities Exchange Act of 1934, as amended) of the securities reported herein that are held by Stuywater. Mr. Rubinstein is affiliated with H.C. Wainwright &amp; Co., LLC, a broker-deal and our placement agent for the Private Placement, with a registered address of 430 Park Ave, 3rd Floor, New York, NY 10022.</w:t>
      </w:r>
    </w:p>
    <w:p>
      <w:pPr>
        <w:spacing w:after="0" w:line="3" w:lineRule="exact"/>
        <w:rPr>
          <w:sz w:val="20"/>
          <w:szCs w:val="20"/>
          <w:color w:val="auto"/>
        </w:rPr>
      </w:pPr>
    </w:p>
    <w:p>
      <w:pPr>
        <w:ind w:left="1720" w:right="339" w:hanging="342"/>
        <w:spacing w:after="0" w:line="249"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1,006,945 shares of Class A common stock issued in the Private Placement to UOITO; (ii) 1,006,945 shares of Class A common stock issuable upon exercise of the common stock warrants to UOITO; and (iii) 161,229 shares of Class A common stock held by BV Group. BV Group is equally owned by GRATIA, UOITO and VEGA. Andre Moll is the sole owner of UOITO and holds the voting control and investment discretion over the securities reported herein. The address for UOITO is Maschinengasse 5, 6330 Cham, Switzerland.</w:t>
      </w:r>
    </w:p>
    <w:p>
      <w:pPr>
        <w:spacing w:after="0" w:line="1" w:lineRule="exact"/>
        <w:rPr>
          <w:rFonts w:ascii="Times New Roman" w:cs="Times New Roman" w:eastAsia="Times New Roman" w:hAnsi="Times New Roman"/>
          <w:sz w:val="14"/>
          <w:szCs w:val="14"/>
          <w:color w:val="auto"/>
        </w:rPr>
      </w:pPr>
    </w:p>
    <w:p>
      <w:pPr>
        <w:ind w:left="1720" w:right="379" w:hanging="342"/>
        <w:spacing w:after="0" w:line="252"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1,215,278 shares of Class A common stock issued in the Private Placement to VEGA; (ii) 1,215,278 shares of Class A common stock issuable upon exercise of the common stock warrants to VEGA; and (iii) 161,229 shares of Class A common stock held by BV Group. BV Group is equally owned by GRATIA, UOITO and VEGA. Pedro Moll is the sole owner of VEGA and holds the voting control and investment discretion over the securities reported herein. The address for VEGA is 1200 Brickell, Avenue #1220, Miami, Florida 33131.</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6" w:lineRule="exact"/>
        <w:rPr>
          <w:sz w:val="20"/>
          <w:szCs w:val="20"/>
          <w:color w:val="auto"/>
        </w:rPr>
      </w:pPr>
    </w:p>
    <w:p>
      <w:pPr>
        <w:ind w:left="1380" w:right="359" w:firstLine="341"/>
        <w:spacing w:after="0" w:line="259" w:lineRule="auto"/>
        <w:rPr>
          <w:sz w:val="20"/>
          <w:szCs w:val="20"/>
          <w:color w:val="auto"/>
        </w:rPr>
      </w:pPr>
      <w:r>
        <w:rPr>
          <w:rFonts w:ascii="Times New Roman" w:cs="Times New Roman" w:eastAsia="Times New Roman" w:hAnsi="Times New Roman"/>
          <w:sz w:val="14"/>
          <w:szCs w:val="14"/>
          <w:color w:val="auto"/>
        </w:rPr>
        <w:t>Each selling stockholder of the securities and any of their pledgees, assignees and successors-in-interest may, from time to time, sell any or all of their shares of Class A common stock covered hereby on The Nasdaq Global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68" w:lineRule="exact"/>
        <w:rPr>
          <w:sz w:val="20"/>
          <w:szCs w:val="20"/>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0" w:lineRule="exact"/>
        <w:rPr>
          <w:rFonts w:ascii="Times New Roman" w:cs="Times New Roman" w:eastAsia="Times New Roman" w:hAnsi="Times New Roman"/>
          <w:sz w:val="14"/>
          <w:szCs w:val="14"/>
          <w:color w:val="auto"/>
        </w:rPr>
      </w:pPr>
    </w:p>
    <w:p>
      <w:pPr>
        <w:ind w:left="2140" w:right="579" w:hanging="343"/>
        <w:spacing w:after="0" w:line="280"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of Class A common stock as agent but may position and resell a portion of the block as principal to facilitate the transaction;</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00"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broker-dealers that agree with the selling stockholders to sell a specified number of such shares of Class A common stock at a stipulated price per security;</w:t>
      </w:r>
    </w:p>
    <w:p>
      <w:pPr>
        <w:spacing w:after="0" w:line="53"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100" w:lineRule="exact"/>
        <w:rPr>
          <w:rFonts w:ascii="Times New Roman" w:cs="Times New Roman" w:eastAsia="Times New Roman" w:hAnsi="Times New Roman"/>
          <w:sz w:val="14"/>
          <w:szCs w:val="14"/>
          <w:color w:val="auto"/>
        </w:rPr>
      </w:pPr>
    </w:p>
    <w:p>
      <w:pPr>
        <w:ind w:left="2140" w:hanging="343"/>
        <w:spacing w:after="0"/>
        <w:tabs>
          <w:tab w:leader="none" w:pos="2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4" w:lineRule="exact"/>
        <w:rPr>
          <w:sz w:val="20"/>
          <w:szCs w:val="20"/>
          <w:color w:val="auto"/>
        </w:rPr>
      </w:pPr>
    </w:p>
    <w:p>
      <w:pPr>
        <w:ind w:left="1380" w:right="499" w:firstLine="341"/>
        <w:spacing w:after="0" w:line="280" w:lineRule="auto"/>
        <w:rPr>
          <w:sz w:val="20"/>
          <w:szCs w:val="20"/>
          <w:color w:val="auto"/>
        </w:rPr>
      </w:pPr>
      <w:r>
        <w:rPr>
          <w:rFonts w:ascii="Times New Roman" w:cs="Times New Roman" w:eastAsia="Times New Roman" w:hAnsi="Times New Roman"/>
          <w:sz w:val="14"/>
          <w:szCs w:val="14"/>
          <w:color w:val="auto"/>
        </w:rPr>
        <w:t>The selling stockholders may also sell the shares of Class A common stock under Rule 144 or any other exemption from registration under the Securities Act, if available, rather than under this prospectus.</w:t>
      </w:r>
    </w:p>
    <w:p>
      <w:pPr>
        <w:spacing w:after="0" w:line="126" w:lineRule="exact"/>
        <w:rPr>
          <w:sz w:val="20"/>
          <w:szCs w:val="20"/>
          <w:color w:val="auto"/>
        </w:rPr>
      </w:pPr>
    </w:p>
    <w:p>
      <w:pPr>
        <w:ind w:left="1380" w:right="459" w:firstLine="341"/>
        <w:spacing w:after="0" w:line="257" w:lineRule="auto"/>
        <w:rPr>
          <w:sz w:val="20"/>
          <w:szCs w:val="20"/>
          <w:color w:val="auto"/>
        </w:rPr>
      </w:pPr>
      <w:r>
        <w:rPr>
          <w:rFonts w:ascii="Times New Roman" w:cs="Times New Roman" w:eastAsia="Times New Roman" w:hAnsi="Times New Roman"/>
          <w:sz w:val="14"/>
          <w:szCs w:val="14"/>
          <w:color w:val="auto"/>
        </w:rPr>
        <w:t>Broker-dealers engaged by the selling stockholders may arrange for other brokers-dealers to participate in sales. Broker-dealers may receive commissions or discounts from the selling stockholders(or,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42"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In connection with the sale of the shares of Class A common stock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the shares of Class A common stock short and deliver these securities to close out their short positions, or loan or pledge the securities to broker-dealers that in turn may sell these shares of Class A common stock. The selling stockholders may also enter into option or other transactions with broker-dealers or other financial institutions or create one or more derivative securities which require the delivery to such broker-dealer or other financial institution of shares of Class A common stock offered by this prospectus, which securities such broker-dealer or other financial institution may resell pursuant to this prospectus (as supplemented or amended to reflect such transaction).</w:t>
      </w:r>
    </w:p>
    <w:p>
      <w:pPr>
        <w:spacing w:after="0" w:line="146"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shares of Class A common stock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shares of Class A common stock.</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shares of Class A common stock offered by them will be the purchase price of the shares of Class A common stock less discounts or commissions, if any. Each of the selling stockholders reserves the right to accept and, together with their agents from time to time, to reject, in whole or in part, any proposed purchase of shares of Class A common stock to be made directly or through agents. We will not receive any of the proceeds from this offering. Upon any exercise of the warrants by payment of cash, however, we will receive the exercise price of the warrants.</w:t>
      </w:r>
    </w:p>
    <w:p>
      <w:pPr>
        <w:spacing w:after="0" w:line="142" w:lineRule="exact"/>
        <w:rPr>
          <w:sz w:val="20"/>
          <w:szCs w:val="20"/>
          <w:color w:val="auto"/>
        </w:rPr>
      </w:pPr>
    </w:p>
    <w:p>
      <w:pPr>
        <w:ind w:left="1380" w:right="639" w:firstLine="341"/>
        <w:spacing w:after="0" w:line="321" w:lineRule="auto"/>
        <w:rPr>
          <w:sz w:val="20"/>
          <w:szCs w:val="20"/>
          <w:color w:val="auto"/>
        </w:rPr>
      </w:pPr>
      <w:r>
        <w:rPr>
          <w:rFonts w:ascii="Times New Roman" w:cs="Times New Roman" w:eastAsia="Times New Roman" w:hAnsi="Times New Roman"/>
          <w:sz w:val="13"/>
          <w:szCs w:val="13"/>
          <w:color w:val="auto"/>
        </w:rPr>
        <w:t>We are required to pay certain fees and expenses incurred by us incident to the registration of the shares of Class A common stock. We have agreed to indemnify the selling stockholders against certain losses, claims, damages and liabilities, including liabilities under the Securities Act.</w:t>
      </w:r>
    </w:p>
    <w:p>
      <w:pPr>
        <w:spacing w:after="0" w:line="102" w:lineRule="exact"/>
        <w:rPr>
          <w:sz w:val="20"/>
          <w:szCs w:val="20"/>
          <w:color w:val="auto"/>
        </w:rPr>
      </w:pPr>
    </w:p>
    <w:p>
      <w:pPr>
        <w:ind w:left="1380" w:right="299" w:firstLine="341"/>
        <w:spacing w:after="0" w:line="259"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41" w:lineRule="exact"/>
        <w:rPr>
          <w:sz w:val="20"/>
          <w:szCs w:val="20"/>
          <w:color w:val="auto"/>
        </w:rPr>
      </w:pPr>
    </w:p>
    <w:p>
      <w:pPr>
        <w:ind w:left="1380" w:right="319" w:firstLine="341"/>
        <w:spacing w:after="0" w:line="276" w:lineRule="auto"/>
        <w:rPr>
          <w:sz w:val="20"/>
          <w:szCs w:val="20"/>
          <w:color w:val="auto"/>
        </w:rPr>
      </w:pPr>
      <w:r>
        <w:rPr>
          <w:rFonts w:ascii="Times New Roman" w:cs="Times New Roman" w:eastAsia="Times New Roman" w:hAnsi="Times New Roman"/>
          <w:sz w:val="13"/>
          <w:szCs w:val="13"/>
          <w:color w:val="auto"/>
        </w:rPr>
        <w:t>We agreed to keep this prospectus effective until the earlier of (i) the date that all shares covered by this registration statement may be resold by the selling stockholders without registration and without regard to any volume or manner-of-sale limitations by reason of Rule 144, without the requirement for us to be in compliance with the current public information under Rule 144 under the Securities Act or any other rule of similar effect or</w:t>
      </w:r>
    </w:p>
    <w:p>
      <w:pPr>
        <w:spacing w:after="0" w:line="1" w:lineRule="exact"/>
        <w:rPr>
          <w:sz w:val="20"/>
          <w:szCs w:val="20"/>
          <w:color w:val="auto"/>
        </w:rPr>
      </w:pPr>
    </w:p>
    <w:p>
      <w:pPr>
        <w:ind w:left="1380" w:right="339" w:hanging="2"/>
        <w:spacing w:after="0" w:line="278" w:lineRule="auto"/>
        <w:tabs>
          <w:tab w:leader="none" w:pos="158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shares of Class A common stock have been sold pursuant to this prospectus or Rule 144 under the Securities Act or any other rule of similar effect. The shares of Class A common stock will be sold only through registered or licensed brokers or dealers if required under applicable state securities laws. In addition, in certain states, the shares of Class A common stock covered hereby may not be sold unless they have been registered or qualified for sale in the applicable state or an exemption from the registration or qualification requirement is available and is complied with.</w:t>
      </w:r>
    </w:p>
    <w:p>
      <w:pPr>
        <w:spacing w:after="0" w:line="129" w:lineRule="exact"/>
        <w:rPr>
          <w:sz w:val="20"/>
          <w:szCs w:val="20"/>
          <w:color w:val="auto"/>
        </w:rPr>
      </w:pPr>
    </w:p>
    <w:p>
      <w:pPr>
        <w:ind w:left="1380" w:right="359" w:firstLine="341"/>
        <w:spacing w:after="0" w:line="254"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shares of Class A common stock may not simultaneously engage in market making activities with respect to the Class A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Class A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Cooley LLP, Palo Alto, California, will pass upon the validity of the shares of our Class A common stock offered by this prospectus.</w:t>
      </w:r>
    </w:p>
    <w:p>
      <w:pPr>
        <w:spacing w:after="0" w:line="3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Marcum LLP, independent registered public accounting firm, has audited our consolidated financial statements included in our Annual Report on Form 10-K for the year ended December 31, 2024 (which contains an explanatory paragraph describing conditions that raise substantial doubt about the Company’s ability to continue as a going concern as described in Note 1 to the consolidated financial statements), as set forth in their report, which is incorporated by reference in this prospectus and elsewhere in the registration statement. Our financial statements are incorporated by reference in reliance on Marcum LLP’s report, given on their authority as experts in accounting and auditing.</w:t>
      </w:r>
    </w:p>
    <w:p>
      <w:pPr>
        <w:spacing w:after="0" w:line="142"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for the year ended December 31, 2023 incorporated in this prospectus by reference to the Annual Report on Form 10-K for the year ended December 31, 2024 have been so incorporated in reliance on the report (which contains an explanatory paragraph describing conditions that raise substantial doubt about the Company’s ability to continue as a going concern as described in Note 1 to the consolidated financial statements) of Ernst &amp; Young LLP, an independent registered public accounting firm, given on the authority of said firm as experts in auditing and accounting.</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6" w:lineRule="exact"/>
        <w:rPr>
          <w:sz w:val="20"/>
          <w:szCs w:val="20"/>
          <w:color w:val="auto"/>
        </w:rPr>
      </w:pPr>
    </w:p>
    <w:p>
      <w:pPr>
        <w:ind w:left="1380" w:right="319" w:firstLine="341"/>
        <w:spacing w:after="0" w:line="253" w:lineRule="auto"/>
        <w:rPr>
          <w:sz w:val="20"/>
          <w:szCs w:val="20"/>
          <w:color w:val="auto"/>
        </w:rPr>
      </w:pPr>
      <w:r>
        <w:rPr>
          <w:rFonts w:ascii="Times New Roman" w:cs="Times New Roman" w:eastAsia="Times New Roman" w:hAnsi="Times New Roman"/>
          <w:sz w:val="14"/>
          <w:szCs w:val="14"/>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https://www.ranitherapeutics.com.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6"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8-K and exhibits filed on such form that are related to such items unless such Form 8-K expressly provides to the contrary):</w:t>
      </w:r>
    </w:p>
    <w:p>
      <w:pPr>
        <w:spacing w:after="0" w:line="72" w:lineRule="exact"/>
        <w:rPr>
          <w:sz w:val="20"/>
          <w:szCs w:val="20"/>
          <w:color w:val="auto"/>
        </w:rPr>
      </w:pPr>
    </w:p>
    <w:p>
      <w:pPr>
        <w:ind w:left="2140" w:hanging="34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2024, filed with the SEC on </w:t>
      </w:r>
      <w:hyperlink r:id="rId49">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2140" w:right="279" w:hanging="343"/>
        <w:spacing w:after="0" w:line="280" w:lineRule="auto"/>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quarterly periods ended March 31, 2025, June 30, 2025 and September 30, 2025 filed with the SEC on </w:t>
      </w:r>
      <w:hyperlink r:id="rId50">
        <w:r>
          <w:rPr>
            <w:rFonts w:ascii="Times New Roman" w:cs="Times New Roman" w:eastAsia="Times New Roman" w:hAnsi="Times New Roman"/>
            <w:sz w:val="14"/>
            <w:szCs w:val="14"/>
            <w:u w:val="single" w:color="auto"/>
            <w:color w:val="0000EE"/>
          </w:rPr>
          <w:t>May 13, 2025</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August 7,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2">
        <w:r>
          <w:rPr>
            <w:rFonts w:ascii="Times New Roman" w:cs="Times New Roman" w:eastAsia="Times New Roman" w:hAnsi="Times New Roman"/>
            <w:sz w:val="14"/>
            <w:szCs w:val="14"/>
            <w:u w:val="single" w:color="auto"/>
            <w:color w:val="0000EE"/>
          </w:rPr>
          <w:t>November 6, 2025</w:t>
        </w:r>
      </w:hyperlink>
      <w:r>
        <w:rPr>
          <w:rFonts w:ascii="Times New Roman" w:cs="Times New Roman" w:eastAsia="Times New Roman" w:hAnsi="Times New Roman"/>
          <w:sz w:val="14"/>
          <w:szCs w:val="14"/>
          <w:color w:val="auto"/>
        </w:rPr>
        <w:t>, respectively;</w:t>
      </w:r>
    </w:p>
    <w:p>
      <w:pPr>
        <w:spacing w:after="0" w:line="53" w:lineRule="exact"/>
        <w:rPr>
          <w:rFonts w:ascii="Times New Roman" w:cs="Times New Roman" w:eastAsia="Times New Roman" w:hAnsi="Times New Roman"/>
          <w:sz w:val="14"/>
          <w:szCs w:val="14"/>
          <w:color w:val="auto"/>
        </w:rPr>
      </w:pPr>
    </w:p>
    <w:p>
      <w:pPr>
        <w:ind w:left="2140" w:right="299" w:hanging="343"/>
        <w:spacing w:after="0" w:line="280" w:lineRule="auto"/>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2024, from our Definitive Proxy Statement on Schedule 14A, filed with the SEC on </w:t>
      </w:r>
      <w:hyperlink r:id="rId53">
        <w:r>
          <w:rPr>
            <w:rFonts w:ascii="Times New Roman" w:cs="Times New Roman" w:eastAsia="Times New Roman" w:hAnsi="Times New Roman"/>
            <w:sz w:val="14"/>
            <w:szCs w:val="14"/>
            <w:u w:val="single" w:color="auto"/>
            <w:color w:val="0000EE"/>
          </w:rPr>
          <w:t>April 16, 2025</w:t>
        </w:r>
      </w:hyperlink>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2140" w:right="299" w:hanging="343"/>
        <w:spacing w:after="0" w:line="280" w:lineRule="auto"/>
        <w:tabs>
          <w:tab w:leader="none" w:pos="2140" w:val="left"/>
        </w:tabs>
        <w:numPr>
          <w:ilvl w:val="0"/>
          <w:numId w:val="20"/>
        </w:numPr>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April 9,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30,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6,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29,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w:t>
        </w:r>
      </w:hyperlink>
      <w:r>
        <w:rPr>
          <w:rFonts w:ascii="Times New Roman" w:cs="Times New Roman" w:eastAsia="Times New Roman" w:hAnsi="Times New Roman"/>
          <w:sz w:val="14"/>
          <w:szCs w:val="14"/>
          <w:color w:val="auto"/>
        </w:rPr>
        <w:t xml:space="preserve"> </w:t>
      </w:r>
      <w:hyperlink r:id="rId54">
        <w:r>
          <w:rPr>
            <w:rFonts w:ascii="Times New Roman" w:cs="Times New Roman" w:eastAsia="Times New Roman" w:hAnsi="Times New Roman"/>
            <w:sz w:val="14"/>
            <w:szCs w:val="14"/>
            <w:u w:val="single" w:color="auto"/>
            <w:color w:val="0000EE"/>
          </w:rPr>
          <w:t>26, 2025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5">
        <w:r>
          <w:rPr>
            <w:rFonts w:ascii="Times New Roman" w:cs="Times New Roman" w:eastAsia="Times New Roman" w:hAnsi="Times New Roman"/>
            <w:sz w:val="14"/>
            <w:szCs w:val="14"/>
            <w:u w:val="single" w:color="auto"/>
            <w:color w:val="0000EE"/>
          </w:rPr>
          <w:t>July 16, 2025</w:t>
        </w:r>
      </w:hyperlink>
      <w:hyperlink r:id="rId5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6">
        <w:r>
          <w:rPr>
            <w:rFonts w:ascii="Times New Roman" w:cs="Times New Roman" w:eastAsia="Times New Roman" w:hAnsi="Times New Roman"/>
            <w:sz w:val="14"/>
            <w:szCs w:val="14"/>
            <w:u w:val="single" w:color="auto"/>
            <w:color w:val="0000EE"/>
          </w:rPr>
          <w:t xml:space="preserve">October 17, 2025 </w:t>
        </w:r>
      </w:hyperlink>
      <w:hyperlink r:id="rId54">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57">
        <w:r>
          <w:rPr>
            <w:rFonts w:ascii="Times New Roman" w:cs="Times New Roman" w:eastAsia="Times New Roman" w:hAnsi="Times New Roman"/>
            <w:sz w:val="14"/>
            <w:szCs w:val="14"/>
            <w:u w:val="single" w:color="auto"/>
            <w:color w:val="0000EE"/>
          </w:rPr>
          <w:t>October 27, 2025</w:t>
        </w:r>
      </w:hyperlink>
      <w:hyperlink r:id="rId54">
        <w:r>
          <w:rPr>
            <w:rFonts w:ascii="Times New Roman" w:cs="Times New Roman" w:eastAsia="Times New Roman" w:hAnsi="Times New Roman"/>
            <w:sz w:val="14"/>
            <w:szCs w:val="14"/>
            <w:color w:val="000000"/>
          </w:rPr>
          <w:t>; and</w:t>
        </w:r>
      </w:hyperlink>
    </w:p>
    <w:p>
      <w:pPr>
        <w:spacing w:after="0" w:line="53" w:lineRule="exact"/>
        <w:rPr>
          <w:rFonts w:ascii="Times New Roman" w:cs="Times New Roman" w:eastAsia="Times New Roman" w:hAnsi="Times New Roman"/>
          <w:sz w:val="14"/>
          <w:szCs w:val="14"/>
          <w:color w:val="0000EE"/>
        </w:rPr>
      </w:pPr>
    </w:p>
    <w:p>
      <w:pPr>
        <w:ind w:left="2140" w:right="579" w:hanging="343"/>
        <w:spacing w:after="0" w:line="280" w:lineRule="auto"/>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which is contained in Exhibit 4.2 of our Quarterly Report on Form 10-Q for the quarter ended June 30, 2022 filed with the SEC on </w:t>
      </w:r>
      <w:hyperlink r:id="rId58">
        <w:r>
          <w:rPr>
            <w:rFonts w:ascii="Times New Roman" w:cs="Times New Roman" w:eastAsia="Times New Roman" w:hAnsi="Times New Roman"/>
            <w:sz w:val="14"/>
            <w:szCs w:val="14"/>
            <w:u w:val="single" w:color="auto"/>
            <w:color w:val="0000EE"/>
          </w:rPr>
          <w:t>August 10, 2022</w:t>
        </w:r>
      </w:hyperlink>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0000EE"/>
        </w:rPr>
      </w:pPr>
    </w:p>
    <w:p>
      <w:pPr>
        <w:ind w:left="1380" w:right="279" w:firstLine="341"/>
        <w:spacing w:after="0" w:line="280" w:lineRule="auto"/>
        <w:rPr>
          <w:sz w:val="20"/>
          <w:szCs w:val="20"/>
          <w:color w:val="auto"/>
        </w:rPr>
      </w:pPr>
      <w:r>
        <w:rPr>
          <w:rFonts w:ascii="Times New Roman" w:cs="Times New Roman" w:eastAsia="Times New Roman" w:hAnsi="Times New Roman"/>
          <w:sz w:val="14"/>
          <w:szCs w:val="14"/>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26" w:lineRule="exact"/>
        <w:rPr>
          <w:rFonts w:ascii="Times New Roman" w:cs="Times New Roman" w:eastAsia="Times New Roman" w:hAnsi="Times New Roman"/>
          <w:sz w:val="14"/>
          <w:szCs w:val="14"/>
          <w:color w:val="0000EE"/>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48" w:lineRule="exact"/>
        <w:rPr>
          <w:rFonts w:ascii="Times New Roman" w:cs="Times New Roman" w:eastAsia="Times New Roman" w:hAnsi="Times New Roman"/>
          <w:sz w:val="14"/>
          <w:szCs w:val="14"/>
          <w:color w:val="0000EE"/>
        </w:rPr>
      </w:pPr>
    </w:p>
    <w:p>
      <w:pPr>
        <w:ind w:left="1380" w:right="319" w:firstLine="341"/>
        <w:spacing w:after="0" w:line="259"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can request a copy of these documents and filings, at no cost, by writing or telephoning us at the following address or telephone number:</w:t>
      </w:r>
    </w:p>
    <w:p>
      <w:pPr>
        <w:spacing w:after="0" w:line="141"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Rani Therapeutics Holdings, Inc.</w:t>
      </w:r>
    </w:p>
    <w:p>
      <w:pPr>
        <w:spacing w:after="0" w:line="21"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2051 Ringwood Avenue</w:t>
      </w:r>
    </w:p>
    <w:p>
      <w:pPr>
        <w:spacing w:after="0" w:line="6"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San Jose, California 95131</w:t>
      </w:r>
    </w:p>
    <w:p>
      <w:pPr>
        <w:spacing w:after="0" w:line="6"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Secretary</w:t>
      </w:r>
    </w:p>
    <w:p>
      <w:pPr>
        <w:spacing w:after="0" w:line="6"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(408) 457-3700</w:t>
      </w:r>
    </w:p>
    <w:p>
      <w:pPr>
        <w:spacing w:after="0" w:line="106" w:lineRule="exact"/>
        <w:rPr>
          <w:rFonts w:ascii="Times New Roman" w:cs="Times New Roman" w:eastAsia="Times New Roman" w:hAnsi="Times New Roman"/>
          <w:sz w:val="14"/>
          <w:szCs w:val="14"/>
          <w:color w:val="0000EE"/>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ind w:left="138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2" w:lineRule="exact"/>
        <w:rPr>
          <w:sz w:val="20"/>
          <w:szCs w:val="20"/>
          <w:color w:val="auto"/>
        </w:rPr>
      </w:pPr>
    </w:p>
    <w:p>
      <w:pPr>
        <w:jc w:val="center"/>
        <w:ind w:left="1680"/>
        <w:spacing w:after="0" w:line="280"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w:t>
      </w:r>
    </w:p>
    <w:p>
      <w:pPr>
        <w:spacing w:after="0" w:line="143" w:lineRule="exact"/>
        <w:rPr>
          <w:sz w:val="20"/>
          <w:szCs w:val="20"/>
          <w:color w:val="auto"/>
        </w:rPr>
      </w:pPr>
    </w:p>
    <w:tbl>
      <w:tblPr>
        <w:tblLayout w:type="fixed"/>
        <w:tblInd w:w="274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3"/>
              </w:rPr>
              <w:t>Amount</w:t>
            </w:r>
          </w:p>
        </w:tc>
      </w:tr>
      <w:tr>
        <w:trPr>
          <w:trHeight w:val="158"/>
        </w:trPr>
        <w:tc>
          <w:tcPr>
            <w:tcW w:w="20" w:type="dxa"/>
            <w:vAlign w:val="bottom"/>
          </w:tcPr>
          <w:p>
            <w:pPr>
              <w:spacing w:after="0"/>
              <w:rPr>
                <w:sz w:val="13"/>
                <w:szCs w:val="13"/>
                <w:color w:val="auto"/>
              </w:rPr>
            </w:pPr>
          </w:p>
        </w:tc>
        <w:tc>
          <w:tcPr>
            <w:tcW w:w="516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SEC registration fee</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68,015</w:t>
            </w:r>
          </w:p>
        </w:tc>
        <w:tc>
          <w:tcPr>
            <w:tcW w:w="80" w:type="dxa"/>
            <w:vAlign w:val="bottom"/>
            <w:tcBorders>
              <w:top w:val="single" w:sz="8" w:color="CCEEFF"/>
            </w:tcBorders>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Financial Industry Regulatory Authority filing fee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r>
      <w:tr>
        <w:trPr>
          <w:trHeight w:val="167"/>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w:t>
            </w:r>
          </w:p>
        </w:tc>
        <w:tc>
          <w:tcPr>
            <w:tcW w:w="8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180,000</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80" w:type="dxa"/>
            <w:vAlign w:val="bottom"/>
            <w:shd w:val="clear" w:color="auto" w:fill="CCEEFF"/>
          </w:tcPr>
          <w:p>
            <w:pPr>
              <w:spacing w:after="0"/>
              <w:rPr>
                <w:sz w:val="14"/>
                <w:szCs w:val="14"/>
                <w:color w:val="auto"/>
              </w:rPr>
            </w:pPr>
          </w:p>
        </w:tc>
      </w:tr>
      <w:tr>
        <w:trPr>
          <w:trHeight w:val="168"/>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299,115</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73025</wp:posOffset>
            </wp:positionV>
            <wp:extent cx="5905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90550" cy="6350"/>
                    </a:xfrm>
                    <a:prstGeom prst="rect">
                      <a:avLst/>
                    </a:prstGeom>
                    <a:noFill/>
                  </pic:spPr>
                </pic:pic>
              </a:graphicData>
            </a:graphic>
          </wp:anchor>
        </w:drawing>
      </w:r>
    </w:p>
    <w:p>
      <w:pPr>
        <w:spacing w:after="0" w:line="122" w:lineRule="exact"/>
        <w:rPr>
          <w:sz w:val="20"/>
          <w:szCs w:val="20"/>
          <w:color w:val="auto"/>
        </w:rPr>
      </w:pPr>
    </w:p>
    <w:p>
      <w:pPr>
        <w:ind w:left="1720" w:hanging="342"/>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fee is calculated based on the securities offered and the number of issuances and accordingly cannot be estimated at this time.</w:t>
      </w:r>
    </w:p>
    <w:p>
      <w:pPr>
        <w:spacing w:after="0" w:line="287" w:lineRule="exact"/>
        <w:rPr>
          <w:sz w:val="20"/>
          <w:szCs w:val="20"/>
          <w:color w:val="auto"/>
        </w:rPr>
      </w:pPr>
    </w:p>
    <w:p>
      <w:pPr>
        <w:ind w:left="138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2" w:lineRule="exact"/>
        <w:rPr>
          <w:sz w:val="20"/>
          <w:szCs w:val="20"/>
          <w:color w:val="auto"/>
        </w:rPr>
      </w:pPr>
    </w:p>
    <w:p>
      <w:pPr>
        <w:jc w:val="both"/>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Rani. The DGCL provides that Section 145 is not exclusive of other rights to which those seeking indemnification may be entitled under any bylaws, agreement, vote of stockholders or disinterested directors or otherwise. Rani’s certificate of incorporation and bylaws provide for indemnification by the Registrant of its directors and officers to the fullest extent permitted by the DGCL.</w:t>
      </w:r>
    </w:p>
    <w:p>
      <w:pPr>
        <w:spacing w:after="0" w:line="146" w:lineRule="exact"/>
        <w:rPr>
          <w:sz w:val="20"/>
          <w:szCs w:val="20"/>
          <w:color w:val="auto"/>
        </w:rPr>
      </w:pPr>
    </w:p>
    <w:p>
      <w:pPr>
        <w:ind w:left="1380" w:right="359" w:firstLine="341"/>
        <w:spacing w:after="0" w:line="259" w:lineRule="auto"/>
        <w:rPr>
          <w:sz w:val="20"/>
          <w:szCs w:val="20"/>
          <w:color w:val="auto"/>
        </w:rPr>
      </w:pPr>
      <w:r>
        <w:rPr>
          <w:rFonts w:ascii="Times New Roman" w:cs="Times New Roman" w:eastAsia="Times New Roman" w:hAnsi="Times New Roman"/>
          <w:sz w:val="14"/>
          <w:szCs w:val="14"/>
          <w:color w:val="auto"/>
        </w:rPr>
        <w:t>Rani has entered into indemnification agreements with each of its directors and executive officers to provide contractual indemnification in addition to the indemnification provided in Rani’s certificate of incorporation. Each indemnification agreement provides for indemnification and advancements by Rani of certain expenses and costs relating to claims, suits or proceedings arising from his or her service to Rani or, at Rani’s request, service to other entities, as officers or directors to the maximum extent permitted by applicable law.</w:t>
      </w:r>
    </w:p>
    <w:p>
      <w:pPr>
        <w:spacing w:after="0" w:line="141" w:lineRule="exact"/>
        <w:rPr>
          <w:sz w:val="20"/>
          <w:szCs w:val="20"/>
          <w:color w:val="auto"/>
        </w:rPr>
      </w:pPr>
    </w:p>
    <w:p>
      <w:pPr>
        <w:jc w:val="both"/>
        <w:ind w:left="1380" w:right="579" w:firstLine="341"/>
        <w:spacing w:after="0" w:line="259" w:lineRule="auto"/>
        <w:rPr>
          <w:sz w:val="20"/>
          <w:szCs w:val="20"/>
          <w:color w:val="auto"/>
        </w:rPr>
      </w:pPr>
      <w:r>
        <w:rPr>
          <w:rFonts w:ascii="Times New Roman" w:cs="Times New Roman" w:eastAsia="Times New Roman" w:hAnsi="Times New Roman"/>
          <w:sz w:val="14"/>
          <w:szCs w:val="14"/>
          <w:color w:val="auto"/>
        </w:rPr>
        <w:t>Rani also maintains standard policies of insurance under which coverage is provided (1) to its directors and officers against loss arising from claims made by reason of breach of duty or other wrongful act, while acting in their capacity as directors and officers of Rani, and (2) to Rani with respect to payments which may be made by the Registrant to such officers and directors pursuant to any indemnification provision contained in the Registrant’s certificate of incorporation and bylaws or otherwise as a matter of law.</w:t>
      </w:r>
    </w:p>
    <w:p>
      <w:pPr>
        <w:spacing w:after="0" w:line="141"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Rani has entered into a registration rights agreement with the stockholders of the shares of Class A common stock registered hereby which obligates the parties to indemnify, under certain circumstances, the other party, its officers, directors, and controlling persons within the meaning of the Securities Act of 1933, as amended, against certain liabilities.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486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000" w:type="dxa"/>
            <w:vAlign w:val="bottom"/>
            <w:gridSpan w:val="7"/>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0" w:type="dxa"/>
            <w:vAlign w:val="bottom"/>
          </w:tcPr>
          <w:p>
            <w:pPr>
              <w:spacing w:after="0"/>
              <w:rPr>
                <w:sz w:val="7"/>
                <w:szCs w:val="7"/>
                <w:color w:val="auto"/>
              </w:rPr>
            </w:pPr>
          </w:p>
        </w:tc>
        <w:tc>
          <w:tcPr>
            <w:tcW w:w="64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Schedule</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7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34"/>
        </w:trPr>
        <w:tc>
          <w:tcPr>
            <w:tcW w:w="66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000" w:type="dxa"/>
            <w:vAlign w:val="bottom"/>
            <w:gridSpan w:val="7"/>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72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0" w:type="dxa"/>
            <w:vAlign w:val="bottom"/>
            <w:tcBorders>
              <w:top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  3.1</w:t>
            </w:r>
          </w:p>
        </w:tc>
        <w:tc>
          <w:tcPr>
            <w:tcW w:w="260" w:type="dxa"/>
            <w:vAlign w:val="bottom"/>
          </w:tcPr>
          <w:p>
            <w:pPr>
              <w:spacing w:after="0"/>
              <w:rPr>
                <w:sz w:val="10"/>
                <w:szCs w:val="10"/>
                <w:color w:val="auto"/>
              </w:rPr>
            </w:pPr>
          </w:p>
        </w:tc>
        <w:tc>
          <w:tcPr>
            <w:tcW w:w="4860" w:type="dxa"/>
            <w:vAlign w:val="bottom"/>
            <w:tcBorders>
              <w:top w:val="single" w:sz="8" w:color="auto"/>
            </w:tcBorders>
            <w:gridSpan w:val="9"/>
          </w:tcPr>
          <w:p>
            <w:pPr>
              <w:spacing w:after="0" w:line="127"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Amended and Restated Certificate of Incorporation of Rani Therapeutics Holdings,</w:t>
              </w:r>
            </w:hyperlink>
          </w:p>
        </w:tc>
        <w:tc>
          <w:tcPr>
            <w:tcW w:w="160" w:type="dxa"/>
            <w:vAlign w:val="bottom"/>
          </w:tcPr>
          <w:p>
            <w:pPr>
              <w:spacing w:after="0"/>
              <w:rPr>
                <w:sz w:val="10"/>
                <w:szCs w:val="10"/>
                <w:color w:val="auto"/>
              </w:rPr>
            </w:pPr>
          </w:p>
        </w:tc>
        <w:tc>
          <w:tcPr>
            <w:tcW w:w="420" w:type="dxa"/>
            <w:vAlign w:val="bottom"/>
            <w:tcBorders>
              <w:top w:val="single" w:sz="8" w:color="auto"/>
            </w:tcBorders>
          </w:tcPr>
          <w:p>
            <w:pPr>
              <w:jc w:val="right"/>
              <w:ind w:right="15"/>
              <w:spacing w:after="0" w:line="127" w:lineRule="exact"/>
              <w:rPr>
                <w:sz w:val="20"/>
                <w:szCs w:val="20"/>
                <w:color w:val="auto"/>
              </w:rPr>
            </w:pPr>
            <w:r>
              <w:rPr>
                <w:rFonts w:ascii="Times New Roman" w:cs="Times New Roman" w:eastAsia="Times New Roman" w:hAnsi="Times New Roman"/>
                <w:sz w:val="14"/>
                <w:szCs w:val="14"/>
                <w:color w:val="auto"/>
              </w:rPr>
              <w:t>S-1</w:t>
            </w:r>
          </w:p>
        </w:tc>
        <w:tc>
          <w:tcPr>
            <w:tcW w:w="220" w:type="dxa"/>
            <w:vAlign w:val="bottom"/>
          </w:tcPr>
          <w:p>
            <w:pPr>
              <w:spacing w:after="0"/>
              <w:rPr>
                <w:sz w:val="10"/>
                <w:szCs w:val="10"/>
                <w:color w:val="auto"/>
              </w:rPr>
            </w:pPr>
          </w:p>
        </w:tc>
        <w:tc>
          <w:tcPr>
            <w:tcW w:w="7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333-257809</w:t>
            </w:r>
          </w:p>
        </w:tc>
        <w:tc>
          <w:tcPr>
            <w:tcW w:w="200" w:type="dxa"/>
            <w:vAlign w:val="bottom"/>
          </w:tcPr>
          <w:p>
            <w:pPr>
              <w:spacing w:after="0"/>
              <w:rPr>
                <w:sz w:val="10"/>
                <w:szCs w:val="10"/>
                <w:color w:val="auto"/>
              </w:rPr>
            </w:pPr>
          </w:p>
        </w:tc>
        <w:tc>
          <w:tcPr>
            <w:tcW w:w="3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w w:val="91"/>
              </w:rPr>
              <w:t>3.1</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7/26/2021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83"/>
              </w:rPr>
            </w:pPr>
            <w:hyperlink r:id="rId62">
              <w:r>
                <w:rPr>
                  <w:rFonts w:ascii="Times New Roman" w:cs="Times New Roman" w:eastAsia="Times New Roman" w:hAnsi="Times New Roman"/>
                  <w:sz w:val="14"/>
                  <w:szCs w:val="14"/>
                  <w:color w:val="0000EE"/>
                  <w:w w:val="83"/>
                </w:rPr>
                <w:t>Inc.</w:t>
              </w:r>
            </w:hyperlink>
          </w:p>
        </w:tc>
        <w:tc>
          <w:tcPr>
            <w:tcW w:w="4420" w:type="dxa"/>
            <w:vAlign w:val="bottom"/>
            <w:tcBorders>
              <w:top w:val="single" w:sz="8" w:color="0000EE"/>
            </w:tcBorders>
            <w:gridSpan w:val="5"/>
          </w:tcPr>
          <w:p>
            <w:pPr>
              <w:spacing w:after="0"/>
              <w:rPr>
                <w:sz w:val="12"/>
                <w:szCs w:val="12"/>
                <w:color w:val="auto"/>
              </w:rPr>
            </w:pPr>
          </w:p>
        </w:tc>
        <w:tc>
          <w:tcPr>
            <w:tcW w:w="24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3.2</w:t>
            </w:r>
          </w:p>
        </w:tc>
        <w:tc>
          <w:tcPr>
            <w:tcW w:w="4860" w:type="dxa"/>
            <w:vAlign w:val="bottom"/>
            <w:gridSpan w:val="9"/>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Amended and Restated Bylaws of Rani Therapeutics Holdings, Inc.</w:t>
              </w:r>
            </w:hyperlink>
          </w:p>
        </w:tc>
        <w:tc>
          <w:tcPr>
            <w:tcW w:w="16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S-1</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333-257809</w:t>
            </w:r>
          </w:p>
        </w:tc>
        <w:tc>
          <w:tcPr>
            <w:tcW w:w="56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1"/>
              </w:rPr>
              <w:t>3.4</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7/9/2021</w:t>
            </w:r>
          </w:p>
        </w:tc>
        <w:tc>
          <w:tcPr>
            <w:tcW w:w="0" w:type="dxa"/>
            <w:vAlign w:val="bottom"/>
          </w:tcPr>
          <w:p>
            <w:pPr>
              <w:spacing w:after="0"/>
              <w:rPr>
                <w:sz w:val="1"/>
                <w:szCs w:val="1"/>
                <w:color w:val="auto"/>
              </w:rPr>
            </w:pPr>
          </w:p>
        </w:tc>
      </w:tr>
      <w:tr>
        <w:trPr>
          <w:trHeight w:val="262"/>
        </w:trPr>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4.1</w:t>
            </w:r>
          </w:p>
        </w:tc>
        <w:tc>
          <w:tcPr>
            <w:tcW w:w="3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auto"/>
              </w:rPr>
              <w:t>Reference is made to Exhibit 3.1 through 3.2</w:t>
            </w:r>
          </w:p>
        </w:tc>
        <w:tc>
          <w:tcPr>
            <w:tcW w:w="1100" w:type="dxa"/>
            <w:vAlign w:val="bottom"/>
            <w:gridSpan w:val="4"/>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9"/>
                <w:szCs w:val="19"/>
                <w:color w:val="auto"/>
              </w:rPr>
            </w:pPr>
          </w:p>
        </w:tc>
        <w:tc>
          <w:tcPr>
            <w:tcW w:w="472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8"/>
              </w:rPr>
            </w:pPr>
            <w:hyperlink r:id="rId64">
              <w:r>
                <w:rPr>
                  <w:rFonts w:ascii="Times New Roman" w:cs="Times New Roman" w:eastAsia="Times New Roman" w:hAnsi="Times New Roman"/>
                  <w:sz w:val="14"/>
                  <w:szCs w:val="14"/>
                  <w:color w:val="0000EE"/>
                  <w:w w:val="98"/>
                </w:rPr>
                <w:t>Form of Securities Purchase Agreement, dated October 16, 2025 by and among Rani</w:t>
              </w:r>
            </w:hyperlink>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001-40672</w:t>
            </w:r>
          </w:p>
        </w:tc>
        <w:tc>
          <w:tcPr>
            <w:tcW w:w="56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7"/>
              </w:rPr>
              <w:t>10.1</w:t>
            </w: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10/16/2025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60" w:type="dxa"/>
            <w:vAlign w:val="bottom"/>
            <w:gridSpan w:val="9"/>
          </w:tcPr>
          <w:p>
            <w:pPr>
              <w:spacing w:after="0" w:line="147"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Therapeutics Holdings, Inc. and the Purchasers.</w:t>
              </w:r>
            </w:hyperlink>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20"/>
                <w:szCs w:val="20"/>
                <w:color w:val="auto"/>
              </w:rPr>
            </w:pPr>
          </w:p>
        </w:tc>
        <w:tc>
          <w:tcPr>
            <w:tcW w:w="4860" w:type="dxa"/>
            <w:vAlign w:val="bottom"/>
            <w:gridSpan w:val="9"/>
          </w:tcPr>
          <w:p>
            <w:pPr>
              <w:spacing w:after="0"/>
              <w:rPr>
                <w:rFonts w:ascii="Times New Roman" w:cs="Times New Roman" w:eastAsia="Times New Roman" w:hAnsi="Times New Roman"/>
                <w:sz w:val="14"/>
                <w:szCs w:val="14"/>
                <w:color w:val="0000EE"/>
                <w:w w:val="99"/>
              </w:rPr>
            </w:pPr>
            <w:hyperlink r:id="rId65">
              <w:r>
                <w:rPr>
                  <w:rFonts w:ascii="Times New Roman" w:cs="Times New Roman" w:eastAsia="Times New Roman" w:hAnsi="Times New Roman"/>
                  <w:sz w:val="14"/>
                  <w:szCs w:val="14"/>
                  <w:color w:val="0000EE"/>
                  <w:w w:val="99"/>
                </w:rPr>
                <w:t>Form of Registration Rights Agreement, dated October 16, 2025, by and between Rani</w:t>
              </w:r>
            </w:hyperlink>
          </w:p>
        </w:tc>
        <w:tc>
          <w:tcPr>
            <w:tcW w:w="16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001-40672</w:t>
            </w:r>
          </w:p>
        </w:tc>
        <w:tc>
          <w:tcPr>
            <w:tcW w:w="56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7"/>
              </w:rPr>
              <w:t>10.2</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10/16/2025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40" w:type="dxa"/>
            <w:vAlign w:val="bottom"/>
            <w:tcBorders>
              <w:top w:val="single" w:sz="8" w:color="0000EE"/>
              <w:bottom w:val="single" w:sz="8" w:color="0000EE"/>
            </w:tcBorders>
            <w:gridSpan w:val="3"/>
          </w:tcPr>
          <w:p>
            <w:pPr>
              <w:spacing w:after="0" w:line="147" w:lineRule="exact"/>
              <w:rPr>
                <w:rFonts w:ascii="Times New Roman" w:cs="Times New Roman" w:eastAsia="Times New Roman" w:hAnsi="Times New Roman"/>
                <w:sz w:val="14"/>
                <w:szCs w:val="14"/>
                <w:color w:val="0000EE"/>
                <w:w w:val="98"/>
              </w:rPr>
            </w:pPr>
            <w:hyperlink r:id="rId65">
              <w:r>
                <w:rPr>
                  <w:rFonts w:ascii="Times New Roman" w:cs="Times New Roman" w:eastAsia="Times New Roman" w:hAnsi="Times New Roman"/>
                  <w:sz w:val="14"/>
                  <w:szCs w:val="14"/>
                  <w:color w:val="0000EE"/>
                  <w:w w:val="98"/>
                </w:rPr>
                <w:t>Therapeutics Holdings, Inc. and the Purchasers</w:t>
              </w:r>
            </w:hyperlink>
          </w:p>
        </w:tc>
        <w:tc>
          <w:tcPr>
            <w:tcW w:w="2180" w:type="dxa"/>
            <w:vAlign w:val="bottom"/>
            <w:tcBorders>
              <w:top w:val="single" w:sz="8" w:color="0000EE"/>
            </w:tcBorders>
            <w:gridSpan w:val="5"/>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10.3</w:t>
            </w:r>
          </w:p>
        </w:tc>
        <w:tc>
          <w:tcPr>
            <w:tcW w:w="260" w:type="dxa"/>
            <w:vAlign w:val="bottom"/>
          </w:tcPr>
          <w:p>
            <w:pPr>
              <w:spacing w:after="0"/>
              <w:rPr>
                <w:sz w:val="20"/>
                <w:szCs w:val="20"/>
                <w:color w:val="auto"/>
              </w:rPr>
            </w:pPr>
          </w:p>
        </w:tc>
        <w:tc>
          <w:tcPr>
            <w:tcW w:w="4860" w:type="dxa"/>
            <w:vAlign w:val="bottom"/>
            <w:gridSpan w:val="9"/>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Form of Common Stock Warrant.</w:t>
              </w:r>
            </w:hyperlink>
          </w:p>
        </w:tc>
        <w:tc>
          <w:tcPr>
            <w:tcW w:w="16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001-40672</w:t>
            </w:r>
          </w:p>
        </w:tc>
        <w:tc>
          <w:tcPr>
            <w:tcW w:w="56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7"/>
              </w:rPr>
              <w:t>10.3</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10/16/2025</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20"/>
                <w:szCs w:val="20"/>
                <w:color w:val="auto"/>
              </w:rPr>
            </w:pPr>
          </w:p>
        </w:tc>
        <w:tc>
          <w:tcPr>
            <w:tcW w:w="4860" w:type="dxa"/>
            <w:vAlign w:val="bottom"/>
            <w:gridSpan w:val="9"/>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Form of Pre-Funded Warrant to Purchase Common Stock.</w:t>
              </w:r>
            </w:hyperlink>
          </w:p>
        </w:tc>
        <w:tc>
          <w:tcPr>
            <w:tcW w:w="16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001-40672</w:t>
            </w:r>
          </w:p>
        </w:tc>
        <w:tc>
          <w:tcPr>
            <w:tcW w:w="56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7"/>
              </w:rPr>
              <w:t>10.4</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10/16/2025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440" w:hanging="62"/>
        <w:spacing w:after="0"/>
        <w:tabs>
          <w:tab w:leader="none" w:pos="1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w:t>
      </w:r>
      <w:r>
        <w:rPr>
          <w:rFonts w:ascii="Times New Roman" w:cs="Times New Roman" w:eastAsia="Times New Roman" w:hAnsi="Times New Roman"/>
          <w:sz w:val="13"/>
          <w:szCs w:val="13"/>
          <w:u w:val="single" w:color="auto"/>
          <w:color w:val="0000EE"/>
        </w:rPr>
        <w:t>Opinion of Cooley LLP.</w:t>
      </w:r>
    </w:p>
    <w:p>
      <w:pPr>
        <w:spacing w:after="0" w:line="101" w:lineRule="exact"/>
        <w:rPr>
          <w:sz w:val="20"/>
          <w:szCs w:val="20"/>
          <w:color w:val="auto"/>
        </w:rPr>
      </w:pPr>
    </w:p>
    <w:p>
      <w:pPr>
        <w:ind w:left="1380"/>
        <w:spacing w:after="0"/>
        <w:tabs>
          <w:tab w:leader="none" w:pos="200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u w:val="single" w:color="auto"/>
          <w:color w:val="0000EE"/>
        </w:rPr>
        <w:t>Consent of Marcum LLP, Independent Registered Public Accounting Firm.</w:t>
      </w:r>
    </w:p>
    <w:p>
      <w:pPr>
        <w:spacing w:after="0" w:line="90" w:lineRule="exact"/>
        <w:rPr>
          <w:sz w:val="20"/>
          <w:szCs w:val="20"/>
          <w:color w:val="auto"/>
        </w:rPr>
      </w:pPr>
    </w:p>
    <w:p>
      <w:pPr>
        <w:ind w:left="1380"/>
        <w:spacing w:after="0"/>
        <w:tabs>
          <w:tab w:leader="none" w:pos="200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3"/>
          <w:szCs w:val="13"/>
          <w:u w:val="single" w:color="auto"/>
          <w:color w:val="0000EE"/>
        </w:rPr>
        <w:t>Consent of Ernst &amp; Young LLP, Independent Registered Public Accounting Firm.</w:t>
      </w:r>
    </w:p>
    <w:p>
      <w:pPr>
        <w:spacing w:after="0" w:line="90" w:lineRule="exact"/>
        <w:rPr>
          <w:sz w:val="20"/>
          <w:szCs w:val="20"/>
          <w:color w:val="auto"/>
        </w:rPr>
      </w:pPr>
    </w:p>
    <w:p>
      <w:pPr>
        <w:ind w:left="1380"/>
        <w:spacing w:after="0"/>
        <w:tabs>
          <w:tab w:leader="none" w:pos="200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80010</wp:posOffset>
            </wp:positionV>
            <wp:extent cx="5905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590550" cy="6350"/>
                    </a:xfrm>
                    <a:prstGeom prst="rect">
                      <a:avLst/>
                    </a:prstGeom>
                    <a:noFill/>
                  </pic:spPr>
                </pic:pic>
              </a:graphicData>
            </a:graphic>
          </wp:anchor>
        </w:drawing>
      </w:r>
    </w:p>
    <w:p>
      <w:pPr>
        <w:spacing w:after="0" w:line="1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87" w:lineRule="exact"/>
        <w:rPr>
          <w:sz w:val="20"/>
          <w:szCs w:val="20"/>
          <w:color w:val="auto"/>
        </w:rPr>
      </w:pPr>
    </w:p>
    <w:p>
      <w:pPr>
        <w:ind w:left="1380"/>
        <w:spacing w:after="0"/>
        <w:tabs>
          <w:tab w:leader="none" w:pos="22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02" w:lineRule="exact"/>
        <w:rPr>
          <w:sz w:val="20"/>
          <w:szCs w:val="20"/>
          <w:color w:val="auto"/>
        </w:rPr>
      </w:pPr>
    </w:p>
    <w:p>
      <w:pPr>
        <w:ind w:left="1720" w:hanging="342"/>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0" w:lineRule="exact"/>
        <w:rPr>
          <w:rFonts w:ascii="Times New Roman" w:cs="Times New Roman" w:eastAsia="Times New Roman" w:hAnsi="Times New Roman"/>
          <w:sz w:val="14"/>
          <w:szCs w:val="14"/>
          <w:color w:val="auto"/>
        </w:rPr>
      </w:pPr>
    </w:p>
    <w:p>
      <w:pPr>
        <w:ind w:left="2140" w:hanging="427"/>
        <w:spacing w:after="0"/>
        <w:tabs>
          <w:tab w:leader="none" w:pos="214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0" w:lineRule="exact"/>
        <w:rPr>
          <w:rFonts w:ascii="Times New Roman" w:cs="Times New Roman" w:eastAsia="Times New Roman" w:hAnsi="Times New Roman"/>
          <w:sz w:val="14"/>
          <w:szCs w:val="14"/>
          <w:color w:val="auto"/>
        </w:rPr>
      </w:pPr>
    </w:p>
    <w:p>
      <w:pPr>
        <w:ind w:left="2480" w:hanging="338"/>
        <w:spacing w:after="0"/>
        <w:tabs>
          <w:tab w:leader="none" w:pos="248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00" w:lineRule="exact"/>
        <w:rPr>
          <w:rFonts w:ascii="Times New Roman" w:cs="Times New Roman" w:eastAsia="Times New Roman" w:hAnsi="Times New Roman"/>
          <w:sz w:val="14"/>
          <w:szCs w:val="14"/>
          <w:color w:val="auto"/>
        </w:rPr>
      </w:pPr>
    </w:p>
    <w:p>
      <w:pPr>
        <w:ind w:left="2480" w:right="319" w:hanging="338"/>
        <w:spacing w:after="0" w:line="254" w:lineRule="auto"/>
        <w:tabs>
          <w:tab w:leader="none" w:pos="248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2" w:lineRule="exact"/>
        <w:rPr>
          <w:rFonts w:ascii="Times New Roman" w:cs="Times New Roman" w:eastAsia="Times New Roman" w:hAnsi="Times New Roman"/>
          <w:sz w:val="14"/>
          <w:szCs w:val="14"/>
          <w:color w:val="auto"/>
        </w:rPr>
      </w:pPr>
    </w:p>
    <w:p>
      <w:pPr>
        <w:ind w:left="2480" w:right="419" w:hanging="338"/>
        <w:spacing w:after="0" w:line="280" w:lineRule="auto"/>
        <w:tabs>
          <w:tab w:leader="none" w:pos="248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40" w:right="339"/>
        <w:spacing w:after="0" w:line="260"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(1)(ii) and (1)(iii)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68" w:lineRule="exact"/>
        <w:rPr>
          <w:sz w:val="20"/>
          <w:szCs w:val="20"/>
          <w:color w:val="auto"/>
        </w:rPr>
      </w:pPr>
    </w:p>
    <w:p>
      <w:pPr>
        <w:ind w:left="2140" w:right="279" w:hanging="427"/>
        <w:spacing w:after="0" w:line="265"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2" w:lineRule="exact"/>
        <w:rPr>
          <w:rFonts w:ascii="Times New Roman" w:cs="Times New Roman" w:eastAsia="Times New Roman" w:hAnsi="Times New Roman"/>
          <w:sz w:val="14"/>
          <w:szCs w:val="14"/>
          <w:color w:val="auto"/>
        </w:rPr>
      </w:pPr>
    </w:p>
    <w:p>
      <w:pPr>
        <w:ind w:left="2140" w:right="539" w:hanging="427"/>
        <w:spacing w:after="0" w:line="280"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4"/>
          <w:szCs w:val="14"/>
          <w:color w:val="auto"/>
        </w:rPr>
      </w:pPr>
    </w:p>
    <w:p>
      <w:pPr>
        <w:ind w:left="2140" w:hanging="427"/>
        <w:spacing w:after="0"/>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00" w:lineRule="exact"/>
        <w:rPr>
          <w:rFonts w:ascii="Times New Roman" w:cs="Times New Roman" w:eastAsia="Times New Roman" w:hAnsi="Times New Roman"/>
          <w:sz w:val="14"/>
          <w:szCs w:val="14"/>
          <w:color w:val="auto"/>
        </w:rPr>
      </w:pPr>
    </w:p>
    <w:p>
      <w:pPr>
        <w:ind w:left="2480" w:right="419" w:hanging="338"/>
        <w:spacing w:after="0" w:line="280" w:lineRule="auto"/>
        <w:tabs>
          <w:tab w:leader="none" w:pos="24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4"/>
          <w:szCs w:val="14"/>
          <w:color w:val="auto"/>
        </w:rPr>
      </w:pPr>
    </w:p>
    <w:p>
      <w:pPr>
        <w:ind w:left="2480" w:right="259" w:hanging="338"/>
        <w:spacing w:after="0" w:line="252" w:lineRule="auto"/>
        <w:tabs>
          <w:tab w:leader="none" w:pos="24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r>
        <w:rPr>
          <w:rFonts w:ascii="Times New Roman" w:cs="Times New Roman" w:eastAsia="Times New Roman" w:hAnsi="Times New Roman"/>
          <w:sz w:val="14"/>
          <w:szCs w:val="14"/>
          <w:i w:val="1"/>
          <w:iCs w:val="1"/>
          <w:color w:val="auto"/>
        </w:rPr>
        <w:t xml:space="preserve"> 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no statement made in a registration statement or prospectus that is part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2" w:lineRule="exact"/>
        <w:rPr>
          <w:rFonts w:ascii="Times New Roman" w:cs="Times New Roman" w:eastAsia="Times New Roman" w:hAnsi="Times New Roman"/>
          <w:sz w:val="14"/>
          <w:szCs w:val="14"/>
          <w:color w:val="auto"/>
        </w:rPr>
      </w:pPr>
    </w:p>
    <w:p>
      <w:pPr>
        <w:ind w:left="2140" w:right="259" w:hanging="427"/>
        <w:spacing w:after="0" w:line="257" w:lineRule="auto"/>
        <w:tabs>
          <w:tab w:leader="none" w:pos="2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rFonts w:ascii="Times New Roman" w:cs="Times New Roman" w:eastAsia="Times New Roman" w:hAnsi="Times New Roman"/>
          <w:sz w:val="14"/>
          <w:szCs w:val="14"/>
          <w:color w:val="auto"/>
        </w:rPr>
      </w:pPr>
    </w:p>
    <w:p>
      <w:pPr>
        <w:ind w:left="2480" w:right="359" w:hanging="338"/>
        <w:spacing w:after="0" w:line="280" w:lineRule="auto"/>
        <w:tabs>
          <w:tab w:leader="none" w:pos="24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4"/>
          <w:szCs w:val="14"/>
          <w:color w:val="auto"/>
        </w:rPr>
      </w:pPr>
    </w:p>
    <w:p>
      <w:pPr>
        <w:ind w:left="2480" w:right="419" w:hanging="338"/>
        <w:spacing w:after="0" w:line="280" w:lineRule="auto"/>
        <w:tabs>
          <w:tab w:leader="none" w:pos="24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4"/>
          <w:szCs w:val="14"/>
          <w:color w:val="auto"/>
        </w:rPr>
      </w:pPr>
    </w:p>
    <w:p>
      <w:pPr>
        <w:ind w:left="2480" w:right="639" w:hanging="338"/>
        <w:spacing w:after="0" w:line="280" w:lineRule="auto"/>
        <w:tabs>
          <w:tab w:leader="none" w:pos="24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4"/>
          <w:szCs w:val="14"/>
          <w:color w:val="auto"/>
        </w:rPr>
      </w:pPr>
    </w:p>
    <w:p>
      <w:pPr>
        <w:ind w:left="2480" w:hanging="338"/>
        <w:spacing w:after="0"/>
        <w:tabs>
          <w:tab w:leader="none" w:pos="24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9" w:lineRule="exact"/>
        <w:rPr>
          <w:sz w:val="20"/>
          <w:szCs w:val="20"/>
          <w:color w:val="auto"/>
        </w:rPr>
      </w:pPr>
    </w:p>
    <w:p>
      <w:pPr>
        <w:ind w:left="1720" w:right="319" w:hanging="342"/>
        <w:spacing w:after="0" w:line="257"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8" w:lineRule="exact"/>
        <w:rPr>
          <w:rFonts w:ascii="Times New Roman" w:cs="Times New Roman" w:eastAsia="Times New Roman" w:hAnsi="Times New Roman"/>
          <w:sz w:val="14"/>
          <w:szCs w:val="14"/>
          <w:color w:val="auto"/>
        </w:rPr>
      </w:pPr>
    </w:p>
    <w:p>
      <w:pPr>
        <w:ind w:left="1720" w:right="299" w:hanging="342"/>
        <w:spacing w:after="0" w:line="25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6" w:lineRule="exact"/>
        <w:rPr>
          <w:sz w:val="20"/>
          <w:szCs w:val="20"/>
          <w:color w:val="auto"/>
        </w:rPr>
      </w:pPr>
    </w:p>
    <w:p>
      <w:pPr>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November 7, 2025.</w:t>
      </w:r>
    </w:p>
    <w:p>
      <w:pPr>
        <w:spacing w:after="0" w:line="15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17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01168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2011680" cy="635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Talat Imran</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constitutes and appoints Talat Imran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Svai Sanford,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Rani Therapeutics Holdings,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ratifying and confirming all that said attorneys-in-fact and agents, or any of them, or their substitutes or substitute, may lawfully do or cause to be done by virtue hereof.</w:t>
      </w:r>
    </w:p>
    <w:p>
      <w:pPr>
        <w:spacing w:after="0" w:line="147" w:lineRule="exact"/>
        <w:rPr>
          <w:sz w:val="20"/>
          <w:szCs w:val="20"/>
          <w:color w:val="auto"/>
        </w:rPr>
      </w:pPr>
    </w:p>
    <w:p>
      <w:pPr>
        <w:ind w:left="1380" w:right="639" w:firstLine="341"/>
        <w:spacing w:after="0" w:line="28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Talat Imran</w:t>
            </w:r>
          </w:p>
        </w:tc>
        <w:tc>
          <w:tcPr>
            <w:tcW w:w="100" w:type="dxa"/>
            <w:vAlign w:val="bottom"/>
          </w:tcPr>
          <w:p>
            <w:pPr>
              <w:spacing w:after="0"/>
              <w:rPr>
                <w:sz w:val="24"/>
                <w:szCs w:val="24"/>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Chief Executive Officer and Director (Principal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Talat Imran</w:t>
            </w:r>
          </w:p>
        </w:tc>
        <w:tc>
          <w:tcPr>
            <w:tcW w:w="100" w:type="dxa"/>
            <w:vAlign w:val="bottom"/>
          </w:tcPr>
          <w:p>
            <w:pPr>
              <w:spacing w:after="0"/>
              <w:rPr>
                <w:sz w:val="15"/>
                <w:szCs w:val="15"/>
                <w:color w:val="auto"/>
              </w:rPr>
            </w:pPr>
          </w:p>
        </w:tc>
        <w:tc>
          <w:tcPr>
            <w:tcW w:w="342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Executive Officer)</w:t>
            </w:r>
          </w:p>
        </w:tc>
        <w:tc>
          <w:tcPr>
            <w:tcW w:w="1440" w:type="dxa"/>
            <w:vAlign w:val="bottom"/>
          </w:tcPr>
          <w:p>
            <w:pPr>
              <w:spacing w:after="0"/>
              <w:rPr>
                <w:sz w:val="15"/>
                <w:szCs w:val="15"/>
                <w:color w:val="auto"/>
              </w:rPr>
            </w:pPr>
          </w:p>
        </w:tc>
      </w:tr>
      <w:tr>
        <w:trPr>
          <w:trHeight w:val="330"/>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Svai Sanford</w:t>
            </w:r>
          </w:p>
        </w:tc>
        <w:tc>
          <w:tcPr>
            <w:tcW w:w="100" w:type="dxa"/>
            <w:vAlign w:val="bottom"/>
          </w:tcPr>
          <w:p>
            <w:pPr>
              <w:spacing w:after="0"/>
              <w:rPr>
                <w:sz w:val="24"/>
                <w:szCs w:val="24"/>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Chief Financial Officer</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Svai Sanford</w:t>
            </w:r>
          </w:p>
        </w:tc>
        <w:tc>
          <w:tcPr>
            <w:tcW w:w="100" w:type="dxa"/>
            <w:vAlign w:val="bottom"/>
          </w:tcPr>
          <w:p>
            <w:pPr>
              <w:spacing w:after="0"/>
              <w:rPr>
                <w:sz w:val="15"/>
                <w:szCs w:val="15"/>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40" w:type="dxa"/>
            <w:vAlign w:val="bottom"/>
          </w:tcPr>
          <w:p>
            <w:pPr>
              <w:spacing w:after="0"/>
              <w:rPr>
                <w:sz w:val="15"/>
                <w:szCs w:val="15"/>
                <w:color w:val="auto"/>
              </w:rPr>
            </w:pPr>
          </w:p>
        </w:tc>
      </w:tr>
      <w:tr>
        <w:trPr>
          <w:trHeight w:val="330"/>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Mir Imran</w:t>
            </w:r>
          </w:p>
        </w:tc>
        <w:tc>
          <w:tcPr>
            <w:tcW w:w="100" w:type="dxa"/>
            <w:vAlign w:val="bottom"/>
          </w:tcPr>
          <w:p>
            <w:pPr>
              <w:spacing w:after="0"/>
              <w:rPr>
                <w:sz w:val="24"/>
                <w:szCs w:val="24"/>
                <w:color w:val="auto"/>
              </w:rPr>
            </w:pPr>
          </w:p>
        </w:tc>
        <w:tc>
          <w:tcPr>
            <w:tcW w:w="3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Executive Chairman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Mir Imran</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30"/>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Dennis Ausiello</w:t>
            </w:r>
          </w:p>
        </w:tc>
        <w:tc>
          <w:tcPr>
            <w:tcW w:w="100" w:type="dxa"/>
            <w:vAlign w:val="bottom"/>
          </w:tcPr>
          <w:p>
            <w:pPr>
              <w:spacing w:after="0"/>
              <w:rPr>
                <w:sz w:val="24"/>
                <w:szCs w:val="24"/>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Dennis Ausiello</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30"/>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Abraham Bassan</w:t>
            </w:r>
          </w:p>
        </w:tc>
        <w:tc>
          <w:tcPr>
            <w:tcW w:w="100" w:type="dxa"/>
            <w:vAlign w:val="bottom"/>
          </w:tcPr>
          <w:p>
            <w:pPr>
              <w:spacing w:after="0"/>
              <w:rPr>
                <w:sz w:val="24"/>
                <w:szCs w:val="24"/>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Abraham Bassan</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78"/>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II-5</w:t>
            </w:r>
          </w:p>
        </w:tc>
        <w:tc>
          <w:tcPr>
            <w:tcW w:w="1440" w:type="dxa"/>
            <w:vAlign w:val="bottom"/>
          </w:tcPr>
          <w:p>
            <w:pPr>
              <w:spacing w:after="0"/>
              <w:rPr>
                <w:sz w:val="24"/>
                <w:szCs w:val="24"/>
                <w:color w:val="auto"/>
              </w:rPr>
            </w:pPr>
          </w:p>
        </w:tc>
      </w:tr>
    </w:tbl>
    <w:p>
      <w:pPr>
        <w:sectPr>
          <w:pgSz w:w="11900" w:h="16838" w:orient="portrait"/>
          <w:cols w:equalWidth="0" w:num="1">
            <w:col w:w="10159"/>
          </w:cols>
          <w:pgMar w:left="300" w:top="38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Vasudev Bailey</w:t>
            </w:r>
          </w:p>
        </w:tc>
        <w:tc>
          <w:tcPr>
            <w:tcW w:w="100" w:type="dxa"/>
            <w:vAlign w:val="bottom"/>
          </w:tcPr>
          <w:p>
            <w:pPr>
              <w:spacing w:after="0"/>
              <w:rPr>
                <w:sz w:val="24"/>
                <w:szCs w:val="24"/>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Vasudev Bailey</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30"/>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Jean-Luc Butel</w:t>
            </w:r>
          </w:p>
        </w:tc>
        <w:tc>
          <w:tcPr>
            <w:tcW w:w="100" w:type="dxa"/>
            <w:vAlign w:val="bottom"/>
          </w:tcPr>
          <w:p>
            <w:pPr>
              <w:spacing w:after="0"/>
              <w:rPr>
                <w:sz w:val="24"/>
                <w:szCs w:val="24"/>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Jean-Luc Butel</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30"/>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Lisa Rometty</w:t>
            </w:r>
          </w:p>
        </w:tc>
        <w:tc>
          <w:tcPr>
            <w:tcW w:w="100" w:type="dxa"/>
            <w:vAlign w:val="bottom"/>
          </w:tcPr>
          <w:p>
            <w:pPr>
              <w:spacing w:after="0"/>
              <w:rPr>
                <w:sz w:val="24"/>
                <w:szCs w:val="24"/>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7, 2025</w:t>
            </w:r>
          </w:p>
        </w:tc>
      </w:tr>
      <w:tr>
        <w:trPr>
          <w:trHeight w:val="17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Lisa Rometty</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78"/>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II-6</w:t>
            </w:r>
          </w:p>
        </w:tc>
        <w:tc>
          <w:tcPr>
            <w:tcW w:w="1440" w:type="dxa"/>
            <w:vAlign w:val="bottom"/>
          </w:tcPr>
          <w:p>
            <w:pPr>
              <w:spacing w:after="0"/>
              <w:rPr>
                <w:sz w:val="24"/>
                <w:szCs w:val="24"/>
                <w:color w:val="auto"/>
              </w:rPr>
            </w:pPr>
          </w:p>
        </w:tc>
      </w:tr>
    </w:tbl>
    <w:p>
      <w:pPr>
        <w:sectPr>
          <w:pgSz w:w="11900" w:h="16838" w:orient="portrait"/>
          <w:cols w:equalWidth="0" w:num="1">
            <w:col w:w="10159"/>
          </w:cols>
          <w:pgMar w:left="300" w:top="384" w:right="1440" w:bottom="1440" w:gutter="0" w:footer="0" w:header="0"/>
        </w:sectPr>
      </w:pPr>
    </w:p>
    <w:bookmarkStart w:id="33" w:name="page34"/>
    <w:bookmarkEnd w:id="33"/>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133985</wp:posOffset>
            </wp:positionV>
            <wp:extent cx="902970" cy="292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902970" cy="29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Josh Seidenfeld</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+1 650 843 5862</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jseidenfeld@cooley.com</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November 7, 2025</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Rani Therapeutics Holdings, Inc.</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2051 Ringwood Avenue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San Jose, CA 95131</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2" w:lineRule="exact"/>
        <w:rPr>
          <w:sz w:val="20"/>
          <w:szCs w:val="20"/>
          <w:color w:val="auto"/>
        </w:rPr>
      </w:pPr>
    </w:p>
    <w:p>
      <w:pPr>
        <w:ind w:left="240" w:right="339"/>
        <w:spacing w:after="0" w:line="275" w:lineRule="auto"/>
        <w:rPr>
          <w:sz w:val="20"/>
          <w:szCs w:val="20"/>
          <w:color w:val="auto"/>
        </w:rPr>
      </w:pPr>
      <w:r>
        <w:rPr>
          <w:rFonts w:ascii="Times New Roman" w:cs="Times New Roman" w:eastAsia="Times New Roman" w:hAnsi="Times New Roman"/>
          <w:sz w:val="13"/>
          <w:szCs w:val="13"/>
          <w:color w:val="auto"/>
        </w:rPr>
        <w:t>We have acted as counsel to Rani Therapeutics Holdings,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the filing by the Company of a Registration Statement on 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including a related prospectus included in the Registration Statement (the “</w:t>
      </w: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covering the registration for resale of up to 250,000,008 shares of the Class A common stock, $0.0001 par value (the “</w:t>
      </w:r>
      <w:r>
        <w:rPr>
          <w:rFonts w:ascii="Times New Roman" w:cs="Times New Roman" w:eastAsia="Times New Roman" w:hAnsi="Times New Roman"/>
          <w:sz w:val="13"/>
          <w:szCs w:val="13"/>
          <w:b w:val="1"/>
          <w:bCs w:val="1"/>
          <w:i w:val="1"/>
          <w:iCs w:val="1"/>
          <w:color w:val="auto"/>
        </w:rPr>
        <w:t>Class A Common Stock</w:t>
      </w:r>
      <w:r>
        <w:rPr>
          <w:rFonts w:ascii="Times New Roman" w:cs="Times New Roman" w:eastAsia="Times New Roman" w:hAnsi="Times New Roman"/>
          <w:sz w:val="13"/>
          <w:szCs w:val="13"/>
          <w:color w:val="auto"/>
        </w:rPr>
        <w:t>”), of the Company consisting of (a) 42,633,337 shares (the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of Class A Common Stock that are currently outstanding, (b) up to 82,366,667 shares of Class A Common Stock (the “</w:t>
      </w:r>
      <w:r>
        <w:rPr>
          <w:rFonts w:ascii="Times New Roman" w:cs="Times New Roman" w:eastAsia="Times New Roman" w:hAnsi="Times New Roman"/>
          <w:sz w:val="13"/>
          <w:szCs w:val="13"/>
          <w:b w:val="1"/>
          <w:bCs w:val="1"/>
          <w:i w:val="1"/>
          <w:iCs w:val="1"/>
          <w:color w:val="auto"/>
        </w:rPr>
        <w:t>Pre-Funded Warrant Shares</w:t>
      </w:r>
      <w:r>
        <w:rPr>
          <w:rFonts w:ascii="Times New Roman" w:cs="Times New Roman" w:eastAsia="Times New Roman" w:hAnsi="Times New Roman"/>
          <w:sz w:val="13"/>
          <w:szCs w:val="13"/>
          <w:color w:val="auto"/>
        </w:rPr>
        <w:t>”) issuable upon the exercise of outstanding pre-funded warrants (the “</w:t>
      </w:r>
      <w:r>
        <w:rPr>
          <w:rFonts w:ascii="Times New Roman" w:cs="Times New Roman" w:eastAsia="Times New Roman" w:hAnsi="Times New Roman"/>
          <w:sz w:val="13"/>
          <w:szCs w:val="13"/>
          <w:b w:val="1"/>
          <w:bCs w:val="1"/>
          <w:i w:val="1"/>
          <w:iCs w:val="1"/>
          <w:color w:val="auto"/>
        </w:rPr>
        <w:t>Pre-Funded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and (c) up to 125,000,004 shares of Class A Common Stock (together with the Pre-Funded Warrant Shares, the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issuable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upon the exercise of outstanding common stock warrants (together with the Pre-Funded Warrants, the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The Shares and the Warrants were issued by the Company pursuant to that certain Securities Purchase Agreement (the “</w:t>
      </w:r>
      <w:r>
        <w:rPr>
          <w:rFonts w:ascii="Times New Roman" w:cs="Times New Roman" w:eastAsia="Times New Roman" w:hAnsi="Times New Roman"/>
          <w:sz w:val="13"/>
          <w:szCs w:val="13"/>
          <w:b w:val="1"/>
          <w:bCs w:val="1"/>
          <w:i w:val="1"/>
          <w:iCs w:val="1"/>
          <w:color w:val="auto"/>
        </w:rPr>
        <w:t>Purchase Agreement</w:t>
      </w:r>
      <w:r>
        <w:rPr>
          <w:rFonts w:ascii="Times New Roman" w:cs="Times New Roman" w:eastAsia="Times New Roman" w:hAnsi="Times New Roman"/>
          <w:sz w:val="13"/>
          <w:szCs w:val="13"/>
          <w:color w:val="auto"/>
        </w:rPr>
        <w:t>”) dated October 16, 2025.</w:t>
      </w:r>
    </w:p>
    <w:p>
      <w:pPr>
        <w:spacing w:after="0" w:line="133" w:lineRule="exact"/>
        <w:rPr>
          <w:sz w:val="20"/>
          <w:szCs w:val="20"/>
          <w:color w:val="auto"/>
        </w:rPr>
      </w:pPr>
    </w:p>
    <w:p>
      <w:pPr>
        <w:ind w:left="240" w:right="279"/>
        <w:spacing w:after="0" w:line="254"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the Prospectus, the Purchase Agreement, the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46" w:lineRule="exact"/>
        <w:rPr>
          <w:sz w:val="20"/>
          <w:szCs w:val="20"/>
          <w:color w:val="auto"/>
        </w:rPr>
      </w:pPr>
    </w:p>
    <w:p>
      <w:pPr>
        <w:ind w:left="240" w:right="319"/>
        <w:spacing w:after="0" w:line="265" w:lineRule="auto"/>
        <w:rPr>
          <w:sz w:val="20"/>
          <w:szCs w:val="20"/>
          <w:color w:val="auto"/>
        </w:rPr>
      </w:pPr>
      <w:r>
        <w:rPr>
          <w:rFonts w:ascii="Times New Roman" w:cs="Times New Roman" w:eastAsia="Times New Roman" w:hAnsi="Times New Roman"/>
          <w:sz w:val="14"/>
          <w:szCs w:val="14"/>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w:t>
      </w:r>
    </w:p>
    <w:p>
      <w:pPr>
        <w:spacing w:after="0" w:line="136" w:lineRule="exact"/>
        <w:rPr>
          <w:sz w:val="20"/>
          <w:szCs w:val="20"/>
          <w:color w:val="auto"/>
        </w:rPr>
      </w:pPr>
    </w:p>
    <w:p>
      <w:pPr>
        <w:ind w:left="240" w:right="259"/>
        <w:spacing w:after="0" w:line="259" w:lineRule="auto"/>
        <w:rPr>
          <w:sz w:val="20"/>
          <w:szCs w:val="20"/>
          <w:color w:val="auto"/>
        </w:rPr>
      </w:pPr>
      <w:r>
        <w:rPr>
          <w:rFonts w:ascii="Times New Roman" w:cs="Times New Roman" w:eastAsia="Times New Roman" w:hAnsi="Times New Roman"/>
          <w:sz w:val="14"/>
          <w:szCs w:val="14"/>
          <w:color w:val="auto"/>
        </w:rPr>
        <w:t>With respect to the Warrant Shares, we express no opinion to the extent that future issuances of securities of the Company, adjustments to outstanding securities of the Company or other matters cause the Warrants to be exercisable for more shares of Class A Common Stock than the number available for issuance by the Company or that the consideration payable upon exercise price of the Warrants is adjusted to an amount below the par value per share of the Class A Common Stock.</w:t>
      </w:r>
    </w:p>
    <w:p>
      <w:pPr>
        <w:spacing w:after="0" w:line="141" w:lineRule="exact"/>
        <w:rPr>
          <w:sz w:val="20"/>
          <w:szCs w:val="20"/>
          <w:color w:val="auto"/>
        </w:rPr>
      </w:pPr>
    </w:p>
    <w:p>
      <w:pPr>
        <w:jc w:val="both"/>
        <w:ind w:left="240" w:right="279"/>
        <w:spacing w:after="0" w:line="265" w:lineRule="auto"/>
        <w:rPr>
          <w:sz w:val="20"/>
          <w:szCs w:val="20"/>
          <w:color w:val="auto"/>
        </w:rPr>
      </w:pPr>
      <w:r>
        <w:rPr>
          <w:rFonts w:ascii="Times New Roman" w:cs="Times New Roman" w:eastAsia="Times New Roman" w:hAnsi="Times New Roman"/>
          <w:sz w:val="14"/>
          <w:szCs w:val="14"/>
          <w:color w:val="auto"/>
        </w:rPr>
        <w:t>On the basis of the foregoing, and in reliance thereon, and subject to the assumption, qualifications, limitations and exceptions set forth herein, we are of the opinion that (i) the Shares are validly issued, fully paid and nonassessable, and (ii) the Warrant Shares, when issued and paid for in accordance with the terms of the Warrants, will be validly issued, fully paid and nonassessable.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9019"/>
          </w:cols>
          <w:pgMar w:left="1440" w:top="123" w:right="1440" w:bottom="1440" w:gutter="0" w:footer="0" w:header="0"/>
        </w:sectPr>
      </w:pPr>
    </w:p>
    <w:bookmarkStart w:id="34" w:name="page35"/>
    <w:bookmarkEnd w:id="34"/>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161925</wp:posOffset>
            </wp:positionV>
            <wp:extent cx="902970" cy="292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902970" cy="292100"/>
                    </a:xfrm>
                    <a:prstGeom prst="rect">
                      <a:avLst/>
                    </a:prstGeom>
                    <a:noFill/>
                  </pic:spPr>
                </pic:pic>
              </a:graphicData>
            </a:graphic>
          </wp:anchor>
        </w:drawing>
        <w:t>Rani Therapeutics Holdings, Inc.</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November 7, 2025</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Page Two</w:t>
      </w:r>
    </w:p>
    <w:p>
      <w:pPr>
        <w:spacing w:after="0" w:line="106" w:lineRule="exact"/>
        <w:rPr>
          <w:sz w:val="20"/>
          <w:szCs w:val="20"/>
          <w:color w:val="auto"/>
        </w:rPr>
      </w:pPr>
    </w:p>
    <w:p>
      <w:pPr>
        <w:ind w:left="240" w:right="259"/>
        <w:spacing w:after="0" w:line="294" w:lineRule="auto"/>
        <w:rPr>
          <w:sz w:val="20"/>
          <w:szCs w:val="20"/>
          <w:color w:val="auto"/>
        </w:rPr>
      </w:pPr>
      <w:r>
        <w:rPr>
          <w:rFonts w:ascii="Times New Roman" w:cs="Times New Roman" w:eastAsia="Times New Roman" w:hAnsi="Times New Roman"/>
          <w:sz w:val="13"/>
          <w:szCs w:val="13"/>
          <w:color w:val="auto"/>
        </w:rPr>
        <w:t>Our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20" w:lineRule="exact"/>
        <w:rPr>
          <w:sz w:val="20"/>
          <w:szCs w:val="20"/>
          <w:color w:val="auto"/>
        </w:rPr>
      </w:pPr>
    </w:p>
    <w:p>
      <w:pPr>
        <w:ind w:left="240" w:right="399"/>
        <w:spacing w:after="0" w:line="265" w:lineRule="auto"/>
        <w:rPr>
          <w:sz w:val="20"/>
          <w:szCs w:val="20"/>
          <w:color w:val="auto"/>
        </w:rPr>
      </w:pPr>
      <w:r>
        <w:rPr>
          <w:rFonts w:ascii="Times New Roman" w:cs="Times New Roman" w:eastAsia="Times New Roman" w:hAnsi="Times New Roman"/>
          <w:sz w:val="14"/>
          <w:szCs w:val="14"/>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OOLEY</w:t>
      </w:r>
      <w:r>
        <w:rPr>
          <w:rFonts w:ascii="Times New Roman" w:cs="Times New Roman" w:eastAsia="Times New Roman" w:hAnsi="Times New Roman"/>
          <w:sz w:val="14"/>
          <w:szCs w:val="14"/>
          <w:b w:val="1"/>
          <w:bCs w:val="1"/>
          <w:color w:val="auto"/>
        </w:rPr>
        <w:t xml:space="preserve"> LLP</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By: /s/ Josh Seidenfeld 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-5715</wp:posOffset>
            </wp:positionV>
            <wp:extent cx="145986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1459865" cy="6350"/>
                    </a:xfrm>
                    <a:prstGeom prst="rect">
                      <a:avLst/>
                    </a:prstGeom>
                    <a:noFill/>
                  </pic:spPr>
                </pic:pic>
              </a:graphicData>
            </a:graphic>
          </wp:anchor>
        </w:drawing>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Josh Seidenfeld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9019"/>
          </w:cols>
          <w:pgMar w:left="1440" w:top="867" w:right="1440" w:bottom="1440" w:gutter="0" w:footer="0" w:header="0"/>
        </w:sectPr>
      </w:pPr>
    </w:p>
    <w:bookmarkStart w:id="35" w:name="page36"/>
    <w:bookmarkEnd w:id="35"/>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CONSENT OF INDEPENDENT REGISTERED PUBLIC ACCOUNTING FIRM</w:t>
      </w:r>
    </w:p>
    <w:p>
      <w:pPr>
        <w:spacing w:after="0" w:line="176" w:lineRule="exact"/>
        <w:rPr>
          <w:sz w:val="20"/>
          <w:szCs w:val="20"/>
          <w:color w:val="auto"/>
        </w:rPr>
      </w:pPr>
    </w:p>
    <w:p>
      <w:pPr>
        <w:ind w:left="240" w:right="399"/>
        <w:spacing w:after="0" w:line="265"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March 31, 2025, with respect to the financial statements of Rani Therapeutics Holdings, Inc. for the year ended December 31, 2024 included in the Annual Report on Form 10-K. We also consent to the reference to us under the heading “Experts” in such Registration Statement.</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M</w:t>
      </w:r>
      <w:r>
        <w:rPr>
          <w:rFonts w:ascii="Times New Roman" w:cs="Times New Roman" w:eastAsia="Times New Roman" w:hAnsi="Times New Roman"/>
          <w:sz w:val="11"/>
          <w:szCs w:val="11"/>
          <w:color w:val="auto"/>
        </w:rPr>
        <w:t>ARCUM</w:t>
      </w:r>
      <w:r>
        <w:rPr>
          <w:rFonts w:ascii="Times New Roman" w:cs="Times New Roman" w:eastAsia="Times New Roman" w:hAnsi="Times New Roman"/>
          <w:sz w:val="14"/>
          <w:szCs w:val="14"/>
          <w:color w:val="auto"/>
        </w:rPr>
        <w:t xml:space="preserve"> LLP</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San Francisco, CA</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November 7, 2025</w:t>
      </w:r>
    </w:p>
    <w:p>
      <w:pPr>
        <w:sectPr>
          <w:pgSz w:w="11900" w:h="16838" w:orient="portrait"/>
          <w:cols w:equalWidth="0" w:num="1">
            <w:col w:w="9019"/>
          </w:cols>
          <w:pgMar w:left="1440" w:top="123" w:right="1440" w:bottom="1440" w:gutter="0" w:footer="0" w:header="0"/>
        </w:sectPr>
      </w:pPr>
    </w:p>
    <w:bookmarkStart w:id="36" w:name="page37"/>
    <w:bookmarkEnd w:id="36"/>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ERNST &amp; YOUNG LLP, INDEPENDENT REGISTERED PUBLIC ACCOUNTING FIRM</w:t>
      </w:r>
    </w:p>
    <w:p>
      <w:pPr>
        <w:spacing w:after="0" w:line="176" w:lineRule="exact"/>
        <w:rPr>
          <w:sz w:val="20"/>
          <w:szCs w:val="20"/>
          <w:color w:val="auto"/>
        </w:rPr>
      </w:pPr>
    </w:p>
    <w:p>
      <w:pPr>
        <w:ind w:left="240" w:right="279"/>
        <w:spacing w:after="0" w:line="259"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Rani Therapeutics Holdings, Inc. for the registration of up to 250,000,008 shares of Class A Common Stock and to the incorporation by reference therein of our report dated March 20, 2024, with respect to the consolidated financial statements of Rani Therapeutics Holdings, Inc. included in its Annual Report (Form 10-K) for the year ended December 31, 2024, filed with the Securities and Exchange Commission.</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November 7, 2025</w:t>
      </w:r>
    </w:p>
    <w:p>
      <w:pPr>
        <w:sectPr>
          <w:pgSz w:w="11900" w:h="16838" w:orient="portrait"/>
          <w:cols w:equalWidth="0" w:num="1">
            <w:col w:w="9019"/>
          </w:cols>
          <w:pgMar w:left="1440" w:top="123" w:right="1440" w:bottom="1440" w:gutter="0" w:footer="0" w:header="0"/>
        </w:sectPr>
      </w:pPr>
    </w:p>
    <w:bookmarkStart w:id="37" w:name="page38"/>
    <w:bookmarkEnd w:id="37"/>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6"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Rani Therapeutics Holdings,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1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4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40" w:type="dxa"/>
            <w:vAlign w:val="bottom"/>
          </w:tcPr>
          <w:p>
            <w:pPr>
              <w:spacing w:after="0"/>
              <w:rPr>
                <w:sz w:val="16"/>
                <w:szCs w:val="16"/>
                <w:color w:val="auto"/>
              </w:rPr>
            </w:pPr>
          </w:p>
        </w:tc>
        <w:tc>
          <w:tcPr>
            <w:tcW w:w="940" w:type="dxa"/>
            <w:vAlign w:val="bottom"/>
            <w:shd w:val="clear" w:color="auto" w:fill="9ADAF6"/>
          </w:tcPr>
          <w:p>
            <w:pPr>
              <w:jc w:val="right"/>
              <w:ind w:right="83"/>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ind w:left="160"/>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0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9"/>
                <w:szCs w:val="9"/>
                <w:color w:val="auto"/>
              </w:rPr>
            </w:pPr>
          </w:p>
        </w:tc>
        <w:tc>
          <w:tcPr>
            <w:tcW w:w="940" w:type="dxa"/>
            <w:vAlign w:val="bottom"/>
            <w:shd w:val="clear" w:color="auto" w:fill="9ADAF6"/>
          </w:tcPr>
          <w:p>
            <w:pPr>
              <w:jc w:val="right"/>
              <w:spacing w:after="0" w:line="115"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9"/>
                <w:szCs w:val="9"/>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Offering Price</w:t>
            </w:r>
          </w:p>
        </w:tc>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4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250,000,008</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$ 1.97</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$ 68,014.25</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6"/>
                <w:szCs w:val="16"/>
                <w:color w:val="auto"/>
              </w:rPr>
            </w:pPr>
          </w:p>
        </w:tc>
        <w:tc>
          <w:tcPr>
            <w:tcW w:w="1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492,500,015.76</w:t>
            </w:r>
          </w:p>
        </w:tc>
        <w:tc>
          <w:tcPr>
            <w:tcW w:w="4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6"/>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$ 68,014.25</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492,500,015.76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$ 68,014.25</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8" w:lineRule="exact"/>
        <w:rPr>
          <w:sz w:val="20"/>
          <w:szCs w:val="20"/>
          <w:color w:val="auto"/>
        </w:rPr>
      </w:pPr>
    </w:p>
    <w:p>
      <w:pPr>
        <w:ind w:left="220" w:right="480" w:hanging="185"/>
        <w:spacing w:after="0" w:line="227" w:lineRule="auto"/>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7"/>
          <w:szCs w:val="17"/>
          <w:color w:val="auto"/>
        </w:rPr>
        <w:t>(a) Consists of an aggregate of up to 250,000,008 shares of the Registrant's Class A common stock, par value $0.0001 per share, registered for resale by the selling stockholders named in this registration statement. (b) Estimated solely for the purposes of calculating the registration fee. Pursuant to Rule 457(c) under the Securities Act, the registration fee has been calculated based upon the average of the high and low prices, as reported by The Nasdaq Global Market, for shares of the Registrant's Class A common stock on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488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ind w:left="40"/>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w w:val="96"/>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3"/>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400"/>
              <w:spacing w:after="0" w:line="189" w:lineRule="exact"/>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0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9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4"/>
    </w:lvl>
  </w:abstractNum>
  <w:abstractNum w:abstractNumId="15">
    <w:nsid w:val="628C895D"/>
    <w:multiLevelType w:val="hybridMultilevel"/>
    <w:lvl w:ilvl="0">
      <w:lvlJc w:val="left"/>
      <w:lvlText w:val="(%1)"/>
      <w:numFmt w:val="decimal"/>
      <w:start w:val="8"/>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
      <w:numFmt w:val="bullet"/>
      <w:start w:val="1"/>
    </w:lvl>
  </w:abstractNum>
  <w:abstractNum w:abstractNumId="22">
    <w:nsid w:val="8EDBD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79838CB2"/>
    <w:multiLevelType w:val="hybridMultilevel"/>
    <w:lvl w:ilvl="0">
      <w:lvlJc w:val="left"/>
      <w:lvlText w:val="(%1)"/>
      <w:numFmt w:val="decimal"/>
      <w:start w:val="2"/>
    </w:lvl>
    <w:lvl w:ilvl="1">
      <w:lvlJc w:val="left"/>
      <w:lvlText w:val="(%2)"/>
      <w:numFmt w:val="lowerRoman"/>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jpeg"/><Relationship Id="rId75" Type="http://schemas.openxmlformats.org/officeDocument/2006/relationships/image" Target="media/image52.png"/><Relationship Id="rId76" Type="http://schemas.openxmlformats.org/officeDocument/2006/relationships/image" Target="media/image53.jpeg"/><Relationship Id="rId77" Type="http://schemas.openxmlformats.org/officeDocument/2006/relationships/image" Target="media/image54.png"/><Relationship Id="rId78" Type="http://schemas.openxmlformats.org/officeDocument/2006/relationships/image" Target="media/image55.png"/><Relationship Id="rId49" Type="http://schemas.openxmlformats.org/officeDocument/2006/relationships/hyperlink" Target="http://www.sec.gov/ix?doc=/Archives/edgar/data/1856725/000095017025047740/rani-20241231.htm" TargetMode="External"/><Relationship Id="rId50" Type="http://schemas.openxmlformats.org/officeDocument/2006/relationships/hyperlink" Target="http://www.sec.gov/ix?doc=/Archives/edgar/data/1856725/000095017025070382/rani-20250331.htm" TargetMode="External"/><Relationship Id="rId51" Type="http://schemas.openxmlformats.org/officeDocument/2006/relationships/hyperlink" Target="http://www.sec.gov/ix?doc=/Archives/edgar/data/1856725/000095017025105045/rani-20250630.htm" TargetMode="External"/><Relationship Id="rId52" Type="http://schemas.openxmlformats.org/officeDocument/2006/relationships/hyperlink" Target="http://www.sec.gov/ix?doc=/Archives/edgar/data/0001856725/000119312525269774/rani-20250930.htm" TargetMode="External"/><Relationship Id="rId53" Type="http://schemas.openxmlformats.org/officeDocument/2006/relationships/hyperlink" Target="http://www.sec.gov/ix?doc=/Archives/edgar/data/1856725/000114036125014078/ny20044394x1_def14a.htm" TargetMode="External"/><Relationship Id="rId54" Type="http://schemas.openxmlformats.org/officeDocument/2006/relationships/hyperlink" Target="http://www.sec.gov/ix?doc=/Archives/edgar/data/1856725/000095017025090384/rani-20250620.htm" TargetMode="External"/><Relationship Id="rId55" Type="http://schemas.openxmlformats.org/officeDocument/2006/relationships/hyperlink" Target="http://www.sec.gov/ix?doc=/Archives/edgar/data/1856725/000119312525159793/d917538d8k.htm" TargetMode="External"/><Relationship Id="rId56" Type="http://schemas.openxmlformats.org/officeDocument/2006/relationships/hyperlink" Target="http://www.sec.gov/ix?doc=/Archives/edgar/data/1856725/000119312525241963/d38236d8k.htm" TargetMode="External"/><Relationship Id="rId57" Type="http://schemas.openxmlformats.org/officeDocument/2006/relationships/hyperlink" Target="http://www.sec.gov/ix?doc=/Archives/edgar/data/1856725/000119312525250614/d935516d8k.htm" TargetMode="External"/><Relationship Id="rId58" Type="http://schemas.openxmlformats.org/officeDocument/2006/relationships/hyperlink" Target="http://www.sec.gov/Archives/edgar/data/1856725/000095017022005088/rani-ex4_2.htm" TargetMode="External"/><Relationship Id="rId62" Type="http://schemas.openxmlformats.org/officeDocument/2006/relationships/hyperlink" Target="http://www.sec.gov/Archives/edgar/data/1856725/000119312521223596/d151628dex31.htm" TargetMode="External"/><Relationship Id="rId63" Type="http://schemas.openxmlformats.org/officeDocument/2006/relationships/hyperlink" Target="http://www.sec.gov/Archives/edgar/data/1856725/000119312521211922/d151628dex34.htm" TargetMode="External"/><Relationship Id="rId64" Type="http://schemas.openxmlformats.org/officeDocument/2006/relationships/hyperlink" Target="http://www.sec.gov/Archives/edgar/data/1856725/000119312525241963/d38236dex101.htm" TargetMode="External"/><Relationship Id="rId65" Type="http://schemas.openxmlformats.org/officeDocument/2006/relationships/hyperlink" Target="http://www.sec.gov/Archives/edgar/data/1856725/000119312525241963/d38236dex102.htm" TargetMode="External"/><Relationship Id="rId66" Type="http://schemas.openxmlformats.org/officeDocument/2006/relationships/hyperlink" Target="http://www.sec.gov/Archives/edgar/data/1856725/000119312525241963/d38236dex103.htm" TargetMode="External"/><Relationship Id="rId67" Type="http://schemas.openxmlformats.org/officeDocument/2006/relationships/hyperlink" Target="http://www.sec.gov/Archives/edgar/data/1856725/000119312525241963/d3823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2025-11-07T16:18:24Z</dcterms:created>
  <dcterms:modified xsi:type="dcterms:W3CDTF">2025-11-07T16:18:24Z</dcterms:modified>
</cp:coreProperties>
</file>