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22"/>
          <w:szCs w:val="22"/>
          <w:b w:val="1"/>
          <w:bCs w:val="1"/>
          <w:color w:val="auto"/>
        </w:rPr>
        <w:drawing>
          <wp:anchor simplePos="0" relativeHeight="251657728" behindDoc="1" locked="0" layoutInCell="0" allowOverlap="1">
            <wp:simplePos x="0" y="0"/>
            <wp:positionH relativeFrom="page">
              <wp:posOffset>1442720</wp:posOffset>
            </wp:positionH>
            <wp:positionV relativeFrom="page">
              <wp:posOffset>140335</wp:posOffset>
            </wp:positionV>
            <wp:extent cx="4663440"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663440" cy="5715"/>
                    </a:xfrm>
                    <a:prstGeom prst="rect">
                      <a:avLst/>
                    </a:prstGeom>
                    <a:noFill/>
                  </pic:spPr>
                </pic:pic>
              </a:graphicData>
            </a:graphic>
          </wp:anchor>
        </w:drawing>
        <w:drawing>
          <wp:anchor simplePos="0" relativeHeight="251657728" behindDoc="1" locked="0" layoutInCell="0" allowOverlap="1">
            <wp:simplePos x="0" y="0"/>
            <wp:positionH relativeFrom="page">
              <wp:posOffset>1442720</wp:posOffset>
            </wp:positionH>
            <wp:positionV relativeFrom="page">
              <wp:posOffset>168910</wp:posOffset>
            </wp:positionV>
            <wp:extent cx="4663440"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663440" cy="5715"/>
                    </a:xfrm>
                    <a:prstGeom prst="rect">
                      <a:avLst/>
                    </a:prstGeom>
                    <a:noFill/>
                  </pic:spPr>
                </pic:pic>
              </a:graphicData>
            </a:graphic>
          </wp:anchor>
        </w:drawing>
        <w:t>UNITED STATES</w:t>
      </w:r>
    </w:p>
    <w:p>
      <w:pPr>
        <w:spacing w:after="0" w:line="5"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SECURITIES AND EXCHANGE COMMISSION</w:t>
      </w: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2368550</wp:posOffset>
            </wp:positionH>
            <wp:positionV relativeFrom="paragraph">
              <wp:posOffset>144780</wp:posOffset>
            </wp:positionV>
            <wp:extent cx="98298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982980" cy="5715"/>
                    </a:xfrm>
                    <a:prstGeom prst="rect">
                      <a:avLst/>
                    </a:prstGeom>
                    <a:noFill/>
                  </pic:spPr>
                </pic:pic>
              </a:graphicData>
            </a:graphic>
          </wp:anchor>
        </w:drawing>
      </w:r>
    </w:p>
    <w:p>
      <w:pPr>
        <w:spacing w:after="0" w:line="307"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2368550</wp:posOffset>
            </wp:positionH>
            <wp:positionV relativeFrom="paragraph">
              <wp:posOffset>147955</wp:posOffset>
            </wp:positionV>
            <wp:extent cx="98298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982980" cy="5715"/>
                    </a:xfrm>
                    <a:prstGeom prst="rect">
                      <a:avLst/>
                    </a:prstGeom>
                    <a:noFill/>
                  </pic:spPr>
                </pic:pic>
              </a:graphicData>
            </a:graphic>
          </wp:anchor>
        </w:drawing>
      </w:r>
    </w:p>
    <w:p>
      <w:pPr>
        <w:spacing w:after="0" w:line="33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CURRENT REPORT</w:t>
      </w:r>
    </w:p>
    <w:p>
      <w:pPr>
        <w:spacing w:after="0" w:line="1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Pursuant to Section 13 or 15(d)</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of The Securities Exchange Act of 1934</w:t>
      </w:r>
    </w:p>
    <w:p>
      <w:pPr>
        <w:spacing w:after="0" w:line="102"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Date of Report (Date of earliest event reported):</w:t>
      </w:r>
    </w:p>
    <w:p>
      <w:pPr>
        <w:spacing w:after="0" w:line="1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September 29, 2021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2368550</wp:posOffset>
            </wp:positionH>
            <wp:positionV relativeFrom="paragraph">
              <wp:posOffset>139065</wp:posOffset>
            </wp:positionV>
            <wp:extent cx="98298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982980" cy="5715"/>
                    </a:xfrm>
                    <a:prstGeom prst="rect">
                      <a:avLst/>
                    </a:prstGeom>
                    <a:noFill/>
                  </pic:spPr>
                </pic:pic>
              </a:graphicData>
            </a:graphic>
          </wp:anchor>
        </w:drawing>
      </w:r>
    </w:p>
    <w:p>
      <w:pPr>
        <w:spacing w:after="0" w:line="307"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Rani Therapeutics Holdings, Inc.</w:t>
      </w:r>
    </w:p>
    <w:p>
      <w:pPr>
        <w:spacing w:after="0" w:line="28" w:lineRule="exact"/>
        <w:rPr>
          <w:sz w:val="24"/>
          <w:szCs w:val="24"/>
          <w:color w:val="auto"/>
        </w:rPr>
      </w:pPr>
    </w:p>
    <w:p>
      <w:pPr>
        <w:jc w:val="center"/>
        <w:spacing w:after="0"/>
        <w:rPr>
          <w:sz w:val="20"/>
          <w:szCs w:val="20"/>
          <w:color w:val="auto"/>
        </w:rPr>
      </w:pPr>
      <w:r>
        <w:rPr>
          <w:rFonts w:ascii="Arial" w:cs="Arial" w:eastAsia="Arial" w:hAnsi="Arial"/>
          <w:sz w:val="12"/>
          <w:szCs w:val="12"/>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2368550</wp:posOffset>
            </wp:positionH>
            <wp:positionV relativeFrom="paragraph">
              <wp:posOffset>140335</wp:posOffset>
            </wp:positionV>
            <wp:extent cx="98298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982980" cy="5715"/>
                    </a:xfrm>
                    <a:prstGeom prst="rect">
                      <a:avLst/>
                    </a:prstGeom>
                    <a:noFill/>
                  </pic:spPr>
                </pic:pic>
              </a:graphicData>
            </a:graphic>
          </wp:anchor>
        </w:drawing>
      </w:r>
    </w:p>
    <w:p>
      <w:pPr>
        <w:spacing w:after="0" w:line="368" w:lineRule="exact"/>
        <w:rPr>
          <w:sz w:val="24"/>
          <w:szCs w:val="24"/>
          <w:color w:val="auto"/>
        </w:rPr>
      </w:pPr>
    </w:p>
    <w:tbl>
      <w:tblPr>
        <w:tblLayout w:type="fixed"/>
        <w:tblInd w:w="1540" w:type="dxa"/>
        <w:tblCellMar>
          <w:top w:w="0" w:type="dxa"/>
          <w:left w:w="0" w:type="dxa"/>
          <w:bottom w:w="0" w:type="dxa"/>
          <w:right w:w="0" w:type="dxa"/>
        </w:tblCellMar>
      </w:tblPr>
      <w:tr>
        <w:trPr>
          <w:trHeight w:val="142"/>
        </w:trPr>
        <w:tc>
          <w:tcPr>
            <w:tcW w:w="2660" w:type="dxa"/>
            <w:vAlign w:val="bottom"/>
          </w:tcPr>
          <w:p>
            <w:pPr>
              <w:jc w:val="center"/>
              <w:ind w:right="1526"/>
              <w:spacing w:after="0"/>
              <w:rPr>
                <w:sz w:val="20"/>
                <w:szCs w:val="20"/>
                <w:color w:val="auto"/>
              </w:rPr>
            </w:pPr>
            <w:r>
              <w:rPr>
                <w:rFonts w:ascii="Arial" w:cs="Arial" w:eastAsia="Arial" w:hAnsi="Arial"/>
                <w:sz w:val="12"/>
                <w:szCs w:val="12"/>
                <w:b w:val="1"/>
                <w:bCs w:val="1"/>
                <w:color w:val="auto"/>
                <w:w w:val="91"/>
              </w:rPr>
              <w:t>Delaware</w:t>
            </w:r>
          </w:p>
        </w:tc>
        <w:tc>
          <w:tcPr>
            <w:tcW w:w="1540" w:type="dxa"/>
            <w:vAlign w:val="bottom"/>
          </w:tcPr>
          <w:p>
            <w:pPr>
              <w:ind w:left="120"/>
              <w:spacing w:after="0"/>
              <w:rPr>
                <w:sz w:val="20"/>
                <w:szCs w:val="20"/>
                <w:color w:val="auto"/>
              </w:rPr>
            </w:pPr>
            <w:r>
              <w:rPr>
                <w:rFonts w:ascii="Arial" w:cs="Arial" w:eastAsia="Arial" w:hAnsi="Arial"/>
                <w:sz w:val="12"/>
                <w:szCs w:val="12"/>
                <w:b w:val="1"/>
                <w:bCs w:val="1"/>
                <w:color w:val="auto"/>
              </w:rPr>
              <w:t>001-40672</w:t>
            </w:r>
          </w:p>
        </w:tc>
        <w:tc>
          <w:tcPr>
            <w:tcW w:w="1640" w:type="dxa"/>
            <w:vAlign w:val="bottom"/>
          </w:tcPr>
          <w:p>
            <w:pPr>
              <w:jc w:val="right"/>
              <w:ind w:right="47"/>
              <w:spacing w:after="0"/>
              <w:rPr>
                <w:sz w:val="20"/>
                <w:szCs w:val="20"/>
                <w:color w:val="auto"/>
              </w:rPr>
            </w:pPr>
            <w:r>
              <w:rPr>
                <w:rFonts w:ascii="Arial" w:cs="Arial" w:eastAsia="Arial" w:hAnsi="Arial"/>
                <w:sz w:val="12"/>
                <w:szCs w:val="12"/>
                <w:b w:val="1"/>
                <w:bCs w:val="1"/>
                <w:color w:val="auto"/>
              </w:rPr>
              <w:t>86-3114789</w:t>
            </w:r>
          </w:p>
        </w:tc>
      </w:tr>
      <w:tr>
        <w:trPr>
          <w:trHeight w:val="99"/>
        </w:trPr>
        <w:tc>
          <w:tcPr>
            <w:tcW w:w="2660" w:type="dxa"/>
            <w:vAlign w:val="bottom"/>
          </w:tcPr>
          <w:p>
            <w:pPr>
              <w:jc w:val="center"/>
              <w:ind w:right="1526"/>
              <w:spacing w:after="0" w:line="99" w:lineRule="exact"/>
              <w:rPr>
                <w:sz w:val="20"/>
                <w:szCs w:val="20"/>
                <w:color w:val="auto"/>
              </w:rPr>
            </w:pPr>
            <w:r>
              <w:rPr>
                <w:rFonts w:ascii="Arial" w:cs="Arial" w:eastAsia="Arial" w:hAnsi="Arial"/>
                <w:sz w:val="10"/>
                <w:szCs w:val="10"/>
                <w:b w:val="1"/>
                <w:bCs w:val="1"/>
                <w:color w:val="auto"/>
                <w:w w:val="86"/>
              </w:rPr>
              <w:t>(State or other jurisdiction</w:t>
            </w:r>
          </w:p>
        </w:tc>
        <w:tc>
          <w:tcPr>
            <w:tcW w:w="1540" w:type="dxa"/>
            <w:vAlign w:val="bottom"/>
          </w:tcPr>
          <w:p>
            <w:pPr>
              <w:ind w:left="120"/>
              <w:spacing w:after="0" w:line="99" w:lineRule="exact"/>
              <w:rPr>
                <w:sz w:val="20"/>
                <w:szCs w:val="20"/>
                <w:color w:val="auto"/>
              </w:rPr>
            </w:pPr>
            <w:r>
              <w:rPr>
                <w:rFonts w:ascii="Arial" w:cs="Arial" w:eastAsia="Arial" w:hAnsi="Arial"/>
                <w:sz w:val="10"/>
                <w:szCs w:val="10"/>
                <w:b w:val="1"/>
                <w:bCs w:val="1"/>
                <w:color w:val="auto"/>
              </w:rPr>
              <w:t>(Commission</w:t>
            </w:r>
          </w:p>
        </w:tc>
        <w:tc>
          <w:tcPr>
            <w:tcW w:w="1640" w:type="dxa"/>
            <w:vAlign w:val="bottom"/>
          </w:tcPr>
          <w:p>
            <w:pPr>
              <w:jc w:val="center"/>
              <w:ind w:left="847"/>
              <w:spacing w:after="0" w:line="99" w:lineRule="exact"/>
              <w:rPr>
                <w:sz w:val="20"/>
                <w:szCs w:val="20"/>
                <w:color w:val="auto"/>
              </w:rPr>
            </w:pPr>
            <w:r>
              <w:rPr>
                <w:rFonts w:ascii="Arial" w:cs="Arial" w:eastAsia="Arial" w:hAnsi="Arial"/>
                <w:sz w:val="10"/>
                <w:szCs w:val="10"/>
                <w:b w:val="1"/>
                <w:bCs w:val="1"/>
                <w:color w:val="auto"/>
                <w:w w:val="90"/>
              </w:rPr>
              <w:t>(IRS Employer</w:t>
            </w:r>
          </w:p>
        </w:tc>
      </w:tr>
      <w:tr>
        <w:trPr>
          <w:trHeight w:val="123"/>
        </w:trPr>
        <w:tc>
          <w:tcPr>
            <w:tcW w:w="2660" w:type="dxa"/>
            <w:vAlign w:val="bottom"/>
          </w:tcPr>
          <w:p>
            <w:pPr>
              <w:jc w:val="center"/>
              <w:ind w:right="1546"/>
              <w:spacing w:after="0"/>
              <w:rPr>
                <w:sz w:val="20"/>
                <w:szCs w:val="20"/>
                <w:color w:val="auto"/>
              </w:rPr>
            </w:pPr>
            <w:r>
              <w:rPr>
                <w:rFonts w:ascii="Arial" w:cs="Arial" w:eastAsia="Arial" w:hAnsi="Arial"/>
                <w:sz w:val="10"/>
                <w:szCs w:val="10"/>
                <w:b w:val="1"/>
                <w:bCs w:val="1"/>
                <w:color w:val="auto"/>
                <w:w w:val="87"/>
              </w:rPr>
              <w:t>of incorporation)</w:t>
            </w:r>
          </w:p>
        </w:tc>
        <w:tc>
          <w:tcPr>
            <w:tcW w:w="1540" w:type="dxa"/>
            <w:vAlign w:val="bottom"/>
          </w:tcPr>
          <w:p>
            <w:pPr>
              <w:ind w:left="100"/>
              <w:spacing w:after="0"/>
              <w:rPr>
                <w:sz w:val="20"/>
                <w:szCs w:val="20"/>
                <w:color w:val="auto"/>
              </w:rPr>
            </w:pPr>
            <w:r>
              <w:rPr>
                <w:rFonts w:ascii="Arial" w:cs="Arial" w:eastAsia="Arial" w:hAnsi="Arial"/>
                <w:sz w:val="10"/>
                <w:szCs w:val="10"/>
                <w:b w:val="1"/>
                <w:bCs w:val="1"/>
                <w:color w:val="auto"/>
              </w:rPr>
              <w:t>File Number)</w:t>
            </w:r>
          </w:p>
        </w:tc>
        <w:tc>
          <w:tcPr>
            <w:tcW w:w="1640" w:type="dxa"/>
            <w:vAlign w:val="bottom"/>
          </w:tcPr>
          <w:p>
            <w:pPr>
              <w:jc w:val="center"/>
              <w:ind w:left="827"/>
              <w:spacing w:after="0"/>
              <w:rPr>
                <w:sz w:val="20"/>
                <w:szCs w:val="20"/>
                <w:color w:val="auto"/>
              </w:rPr>
            </w:pPr>
            <w:r>
              <w:rPr>
                <w:rFonts w:ascii="Arial" w:cs="Arial" w:eastAsia="Arial" w:hAnsi="Arial"/>
                <w:sz w:val="10"/>
                <w:szCs w:val="10"/>
                <w:b w:val="1"/>
                <w:bCs w:val="1"/>
                <w:color w:val="auto"/>
                <w:w w:val="89"/>
              </w:rPr>
              <w:t>Identification No.)</w:t>
            </w:r>
          </w:p>
        </w:tc>
      </w:tr>
      <w:tr>
        <w:trPr>
          <w:trHeight w:val="274"/>
        </w:trPr>
        <w:tc>
          <w:tcPr>
            <w:tcW w:w="2660" w:type="dxa"/>
            <w:vAlign w:val="bottom"/>
          </w:tcPr>
          <w:p>
            <w:pPr>
              <w:jc w:val="center"/>
              <w:ind w:left="806"/>
              <w:spacing w:after="0"/>
              <w:rPr>
                <w:sz w:val="20"/>
                <w:szCs w:val="20"/>
                <w:color w:val="auto"/>
              </w:rPr>
            </w:pPr>
            <w:r>
              <w:rPr>
                <w:rFonts w:ascii="Arial" w:cs="Arial" w:eastAsia="Arial" w:hAnsi="Arial"/>
                <w:sz w:val="12"/>
                <w:szCs w:val="12"/>
                <w:b w:val="1"/>
                <w:bCs w:val="1"/>
                <w:color w:val="auto"/>
                <w:w w:val="89"/>
              </w:rPr>
              <w:t>2051 Ringwood Avenue</w:t>
            </w:r>
          </w:p>
        </w:tc>
        <w:tc>
          <w:tcPr>
            <w:tcW w:w="1540" w:type="dxa"/>
            <w:vAlign w:val="bottom"/>
          </w:tcPr>
          <w:p>
            <w:pPr>
              <w:spacing w:after="0"/>
              <w:rPr>
                <w:sz w:val="23"/>
                <w:szCs w:val="23"/>
                <w:color w:val="auto"/>
              </w:rPr>
            </w:pPr>
          </w:p>
        </w:tc>
        <w:tc>
          <w:tcPr>
            <w:tcW w:w="1640" w:type="dxa"/>
            <w:vAlign w:val="bottom"/>
          </w:tcPr>
          <w:p>
            <w:pPr>
              <w:spacing w:after="0"/>
              <w:rPr>
                <w:sz w:val="23"/>
                <w:szCs w:val="23"/>
                <w:color w:val="auto"/>
              </w:rPr>
            </w:pPr>
          </w:p>
        </w:tc>
      </w:tr>
      <w:tr>
        <w:trPr>
          <w:trHeight w:val="151"/>
        </w:trPr>
        <w:tc>
          <w:tcPr>
            <w:tcW w:w="2660" w:type="dxa"/>
            <w:vAlign w:val="bottom"/>
          </w:tcPr>
          <w:p>
            <w:pPr>
              <w:jc w:val="center"/>
              <w:ind w:left="786"/>
              <w:spacing w:after="0"/>
              <w:rPr>
                <w:sz w:val="20"/>
                <w:szCs w:val="20"/>
                <w:color w:val="auto"/>
              </w:rPr>
            </w:pPr>
            <w:r>
              <w:rPr>
                <w:rFonts w:ascii="Arial" w:cs="Arial" w:eastAsia="Arial" w:hAnsi="Arial"/>
                <w:sz w:val="12"/>
                <w:szCs w:val="12"/>
                <w:b w:val="1"/>
                <w:bCs w:val="1"/>
                <w:color w:val="auto"/>
                <w:w w:val="88"/>
              </w:rPr>
              <w:t>San Jose, California</w:t>
            </w:r>
          </w:p>
        </w:tc>
        <w:tc>
          <w:tcPr>
            <w:tcW w:w="1540" w:type="dxa"/>
            <w:vAlign w:val="bottom"/>
          </w:tcPr>
          <w:p>
            <w:pPr>
              <w:spacing w:after="0"/>
              <w:rPr>
                <w:sz w:val="13"/>
                <w:szCs w:val="13"/>
                <w:color w:val="auto"/>
              </w:rPr>
            </w:pPr>
          </w:p>
        </w:tc>
        <w:tc>
          <w:tcPr>
            <w:tcW w:w="1640" w:type="dxa"/>
            <w:vAlign w:val="bottom"/>
          </w:tcPr>
          <w:p>
            <w:pPr>
              <w:jc w:val="right"/>
              <w:ind w:right="167"/>
              <w:spacing w:after="0"/>
              <w:rPr>
                <w:sz w:val="20"/>
                <w:szCs w:val="20"/>
                <w:color w:val="auto"/>
              </w:rPr>
            </w:pPr>
            <w:r>
              <w:rPr>
                <w:rFonts w:ascii="Arial" w:cs="Arial" w:eastAsia="Arial" w:hAnsi="Arial"/>
                <w:sz w:val="12"/>
                <w:szCs w:val="12"/>
                <w:b w:val="1"/>
                <w:bCs w:val="1"/>
                <w:color w:val="auto"/>
              </w:rPr>
              <w:t>95131</w:t>
            </w:r>
          </w:p>
        </w:tc>
      </w:tr>
      <w:tr>
        <w:trPr>
          <w:trHeight w:val="123"/>
        </w:trPr>
        <w:tc>
          <w:tcPr>
            <w:tcW w:w="2660" w:type="dxa"/>
            <w:vAlign w:val="bottom"/>
          </w:tcPr>
          <w:p>
            <w:pPr>
              <w:jc w:val="center"/>
              <w:ind w:left="786"/>
              <w:spacing w:after="0"/>
              <w:rPr>
                <w:sz w:val="20"/>
                <w:szCs w:val="20"/>
                <w:color w:val="auto"/>
              </w:rPr>
            </w:pPr>
            <w:r>
              <w:rPr>
                <w:rFonts w:ascii="Arial" w:cs="Arial" w:eastAsia="Arial" w:hAnsi="Arial"/>
                <w:sz w:val="10"/>
                <w:szCs w:val="10"/>
                <w:b w:val="1"/>
                <w:bCs w:val="1"/>
                <w:color w:val="auto"/>
                <w:w w:val="84"/>
              </w:rPr>
              <w:t>(Address of principal executive offices)</w:t>
            </w:r>
          </w:p>
        </w:tc>
        <w:tc>
          <w:tcPr>
            <w:tcW w:w="1540" w:type="dxa"/>
            <w:vAlign w:val="bottom"/>
          </w:tcPr>
          <w:p>
            <w:pPr>
              <w:spacing w:after="0"/>
              <w:rPr>
                <w:sz w:val="10"/>
                <w:szCs w:val="10"/>
                <w:color w:val="auto"/>
              </w:rPr>
            </w:pPr>
          </w:p>
        </w:tc>
        <w:tc>
          <w:tcPr>
            <w:tcW w:w="1640" w:type="dxa"/>
            <w:vAlign w:val="bottom"/>
          </w:tcPr>
          <w:p>
            <w:pPr>
              <w:jc w:val="center"/>
              <w:ind w:left="827"/>
              <w:spacing w:after="0"/>
              <w:rPr>
                <w:sz w:val="20"/>
                <w:szCs w:val="20"/>
                <w:color w:val="auto"/>
              </w:rPr>
            </w:pPr>
            <w:r>
              <w:rPr>
                <w:rFonts w:ascii="Arial" w:cs="Arial" w:eastAsia="Arial" w:hAnsi="Arial"/>
                <w:sz w:val="10"/>
                <w:szCs w:val="10"/>
                <w:b w:val="1"/>
                <w:bCs w:val="1"/>
                <w:color w:val="auto"/>
                <w:w w:val="88"/>
              </w:rPr>
              <w:t>(Zip Code)</w:t>
            </w:r>
          </w:p>
        </w:tc>
      </w:tr>
    </w:tbl>
    <w:p>
      <w:pPr>
        <w:spacing w:after="0" w:line="94" w:lineRule="exact"/>
        <w:rPr>
          <w:sz w:val="24"/>
          <w:szCs w:val="24"/>
          <w:color w:val="auto"/>
        </w:rPr>
      </w:pPr>
    </w:p>
    <w:p>
      <w:pPr>
        <w:jc w:val="center"/>
        <w:spacing w:after="0"/>
        <w:rPr>
          <w:sz w:val="20"/>
          <w:szCs w:val="20"/>
          <w:color w:val="auto"/>
        </w:rPr>
      </w:pPr>
      <w:r>
        <w:rPr>
          <w:rFonts w:ascii="Arial" w:cs="Arial" w:eastAsia="Arial" w:hAnsi="Arial"/>
          <w:sz w:val="12"/>
          <w:szCs w:val="12"/>
          <w:b w:val="1"/>
          <w:bCs w:val="1"/>
          <w:color w:val="auto"/>
        </w:rPr>
        <w:t>Registrant’s telephone number, including area code: (408) 457-3700</w:t>
      </w:r>
    </w:p>
    <w:p>
      <w:pPr>
        <w:spacing w:after="0" w:line="123" w:lineRule="exact"/>
        <w:rPr>
          <w:sz w:val="24"/>
          <w:szCs w:val="24"/>
          <w:color w:val="auto"/>
        </w:rPr>
      </w:pPr>
    </w:p>
    <w:p>
      <w:pPr>
        <w:jc w:val="center"/>
        <w:spacing w:after="0"/>
        <w:rPr>
          <w:sz w:val="20"/>
          <w:szCs w:val="20"/>
          <w:color w:val="auto"/>
        </w:rPr>
      </w:pPr>
      <w:r>
        <w:rPr>
          <w:rFonts w:ascii="Arial" w:cs="Arial" w:eastAsia="Arial" w:hAnsi="Arial"/>
          <w:sz w:val="12"/>
          <w:szCs w:val="12"/>
          <w:b w:val="1"/>
          <w:bCs w:val="1"/>
          <w:color w:val="auto"/>
        </w:rPr>
        <w:t>N/A</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10"/>
          <w:szCs w:val="10"/>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2368550</wp:posOffset>
            </wp:positionH>
            <wp:positionV relativeFrom="paragraph">
              <wp:posOffset>136525</wp:posOffset>
            </wp:positionV>
            <wp:extent cx="98298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982980" cy="5715"/>
                    </a:xfrm>
                    <a:prstGeom prst="rect">
                      <a:avLst/>
                    </a:prstGeom>
                    <a:noFill/>
                  </pic:spPr>
                </pic:pic>
              </a:graphicData>
            </a:graphic>
          </wp:anchor>
        </w:drawing>
      </w:r>
    </w:p>
    <w:p>
      <w:pPr>
        <w:spacing w:after="0" w:line="312" w:lineRule="exact"/>
        <w:rPr>
          <w:sz w:val="24"/>
          <w:szCs w:val="24"/>
          <w:color w:val="auto"/>
        </w:rPr>
      </w:pPr>
    </w:p>
    <w:p>
      <w:pPr>
        <w:ind w:left="840" w:right="1159"/>
        <w:spacing w:after="0" w:line="276" w:lineRule="auto"/>
        <w:rPr>
          <w:sz w:val="20"/>
          <w:szCs w:val="20"/>
          <w:color w:val="auto"/>
        </w:rPr>
      </w:pPr>
      <w:r>
        <w:rPr>
          <w:rFonts w:ascii="Arial" w:cs="Arial" w:eastAsia="Arial" w:hAnsi="Arial"/>
          <w:sz w:val="12"/>
          <w:szCs w:val="12"/>
          <w:color w:val="auto"/>
        </w:rPr>
        <w:t>Check the appropriate box below if the Form 8-K filing is intended to simultaneously satisfy the filing obligation of the registrant under any of the following provisions:</w:t>
      </w:r>
    </w:p>
    <w:p>
      <w:pPr>
        <w:spacing w:after="0" w:line="52" w:lineRule="exact"/>
        <w:rPr>
          <w:sz w:val="24"/>
          <w:szCs w:val="24"/>
          <w:color w:val="auto"/>
        </w:rPr>
      </w:pPr>
    </w:p>
    <w:p>
      <w:pPr>
        <w:ind w:left="1480" w:hanging="360"/>
        <w:spacing w:after="0"/>
        <w:tabs>
          <w:tab w:leader="none" w:pos="148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Written communications pursuant to Rule 425 under the Securities Act (17 CFR 230.425)</w:t>
      </w:r>
    </w:p>
    <w:p>
      <w:pPr>
        <w:spacing w:after="0" w:line="87" w:lineRule="exact"/>
        <w:rPr>
          <w:rFonts w:ascii="MS PGothic" w:cs="MS PGothic" w:eastAsia="MS PGothic" w:hAnsi="MS PGothic"/>
          <w:sz w:val="12"/>
          <w:szCs w:val="12"/>
          <w:color w:val="auto"/>
        </w:rPr>
      </w:pPr>
    </w:p>
    <w:p>
      <w:pPr>
        <w:ind w:left="1480" w:hanging="360"/>
        <w:spacing w:after="0"/>
        <w:tabs>
          <w:tab w:leader="none" w:pos="148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Soliciting material pursuant to Rule 14a-12 under the Exchange Act (17 CFR 240.14a-12)</w:t>
      </w:r>
    </w:p>
    <w:p>
      <w:pPr>
        <w:spacing w:after="0" w:line="87" w:lineRule="exact"/>
        <w:rPr>
          <w:rFonts w:ascii="MS PGothic" w:cs="MS PGothic" w:eastAsia="MS PGothic" w:hAnsi="MS PGothic"/>
          <w:sz w:val="12"/>
          <w:szCs w:val="12"/>
          <w:color w:val="auto"/>
        </w:rPr>
      </w:pPr>
    </w:p>
    <w:p>
      <w:pPr>
        <w:ind w:left="1480" w:hanging="360"/>
        <w:spacing w:after="0"/>
        <w:tabs>
          <w:tab w:leader="none" w:pos="148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Pre-commencement communications pursuant to Rule 14d-2(b) under the Exchange Act (17 CFR 240.14d-2(b))</w:t>
      </w:r>
    </w:p>
    <w:p>
      <w:pPr>
        <w:spacing w:after="0" w:line="87" w:lineRule="exact"/>
        <w:rPr>
          <w:rFonts w:ascii="MS PGothic" w:cs="MS PGothic" w:eastAsia="MS PGothic" w:hAnsi="MS PGothic"/>
          <w:sz w:val="12"/>
          <w:szCs w:val="12"/>
          <w:color w:val="auto"/>
        </w:rPr>
      </w:pPr>
    </w:p>
    <w:p>
      <w:pPr>
        <w:ind w:left="1480" w:hanging="360"/>
        <w:spacing w:after="0"/>
        <w:tabs>
          <w:tab w:leader="none" w:pos="1480" w:val="left"/>
        </w:tabs>
        <w:numPr>
          <w:ilvl w:val="0"/>
          <w:numId w:val="1"/>
        </w:numPr>
        <w:rPr>
          <w:rFonts w:ascii="MS PGothic" w:cs="MS PGothic" w:eastAsia="MS PGothic" w:hAnsi="MS PGothic"/>
          <w:sz w:val="12"/>
          <w:szCs w:val="12"/>
          <w:color w:val="auto"/>
        </w:rPr>
      </w:pPr>
      <w:r>
        <w:rPr>
          <w:rFonts w:ascii="Arial" w:cs="Arial" w:eastAsia="Arial" w:hAnsi="Arial"/>
          <w:sz w:val="12"/>
          <w:szCs w:val="12"/>
          <w:color w:val="auto"/>
        </w:rPr>
        <w:t>Pre-commencement communications pursuant to Rule 13e-4(c) under the Exchange Act (17 CFR 240.13e-4(c))</w:t>
      </w:r>
    </w:p>
    <w:p>
      <w:pPr>
        <w:spacing w:after="0" w:line="123" w:lineRule="exact"/>
        <w:rPr>
          <w:sz w:val="24"/>
          <w:szCs w:val="24"/>
          <w:color w:val="auto"/>
        </w:rPr>
      </w:pPr>
    </w:p>
    <w:p>
      <w:pPr>
        <w:ind w:left="840"/>
        <w:spacing w:after="0"/>
        <w:rPr>
          <w:sz w:val="20"/>
          <w:szCs w:val="20"/>
          <w:color w:val="auto"/>
        </w:rPr>
      </w:pPr>
      <w:r>
        <w:rPr>
          <w:rFonts w:ascii="Arial" w:cs="Arial" w:eastAsia="Arial" w:hAnsi="Arial"/>
          <w:sz w:val="12"/>
          <w:szCs w:val="12"/>
          <w:color w:val="auto"/>
        </w:rPr>
        <w:t>Securities registered pursuant to Section 12(b) of the Act:</w:t>
      </w:r>
    </w:p>
    <w:p>
      <w:pPr>
        <w:spacing w:after="0" w:line="128" w:lineRule="exact"/>
        <w:rPr>
          <w:sz w:val="24"/>
          <w:szCs w:val="24"/>
          <w:color w:val="auto"/>
        </w:rPr>
      </w:pPr>
    </w:p>
    <w:tbl>
      <w:tblPr>
        <w:tblLayout w:type="fixed"/>
        <w:tblInd w:w="840" w:type="dxa"/>
        <w:tblCellMar>
          <w:top w:w="0" w:type="dxa"/>
          <w:left w:w="0" w:type="dxa"/>
          <w:bottom w:w="0" w:type="dxa"/>
          <w:right w:w="0" w:type="dxa"/>
        </w:tblCellMar>
      </w:tblPr>
      <w:tr>
        <w:trPr>
          <w:trHeight w:val="115"/>
        </w:trPr>
        <w:tc>
          <w:tcPr>
            <w:tcW w:w="24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20" w:type="dxa"/>
            <w:vAlign w:val="bottom"/>
            <w:gridSpan w:val="2"/>
          </w:tcPr>
          <w:p>
            <w:pPr>
              <w:jc w:val="center"/>
              <w:ind w:right="60"/>
              <w:spacing w:after="0"/>
              <w:rPr>
                <w:sz w:val="20"/>
                <w:szCs w:val="20"/>
                <w:color w:val="auto"/>
              </w:rPr>
            </w:pPr>
            <w:r>
              <w:rPr>
                <w:rFonts w:ascii="Arial" w:cs="Arial" w:eastAsia="Arial" w:hAnsi="Arial"/>
                <w:sz w:val="10"/>
                <w:szCs w:val="10"/>
                <w:b w:val="1"/>
                <w:bCs w:val="1"/>
                <w:color w:val="auto"/>
                <w:w w:val="87"/>
              </w:rPr>
              <w:t>Trading</w:t>
            </w:r>
          </w:p>
        </w:tc>
        <w:tc>
          <w:tcPr>
            <w:tcW w:w="2360" w:type="dxa"/>
            <w:vAlign w:val="bottom"/>
          </w:tcPr>
          <w:p>
            <w:pPr>
              <w:jc w:val="center"/>
              <w:spacing w:after="0"/>
              <w:rPr>
                <w:sz w:val="20"/>
                <w:szCs w:val="20"/>
                <w:color w:val="auto"/>
              </w:rPr>
            </w:pPr>
            <w:r>
              <w:rPr>
                <w:rFonts w:ascii="Arial" w:cs="Arial" w:eastAsia="Arial" w:hAnsi="Arial"/>
                <w:sz w:val="10"/>
                <w:szCs w:val="10"/>
                <w:b w:val="1"/>
                <w:bCs w:val="1"/>
                <w:color w:val="auto"/>
                <w:w w:val="84"/>
              </w:rPr>
              <w:t>Name of each exchange</w:t>
            </w:r>
          </w:p>
        </w:tc>
      </w:tr>
      <w:tr>
        <w:trPr>
          <w:trHeight w:val="122"/>
        </w:trPr>
        <w:tc>
          <w:tcPr>
            <w:tcW w:w="2560" w:type="dxa"/>
            <w:vAlign w:val="bottom"/>
            <w:gridSpan w:val="2"/>
          </w:tcPr>
          <w:p>
            <w:pPr>
              <w:jc w:val="center"/>
              <w:ind w:right="80"/>
              <w:spacing w:after="0"/>
              <w:rPr>
                <w:sz w:val="20"/>
                <w:szCs w:val="20"/>
                <w:color w:val="auto"/>
              </w:rPr>
            </w:pPr>
            <w:r>
              <w:rPr>
                <w:rFonts w:ascii="Arial" w:cs="Arial" w:eastAsia="Arial" w:hAnsi="Arial"/>
                <w:sz w:val="10"/>
                <w:szCs w:val="10"/>
                <w:b w:val="1"/>
                <w:bCs w:val="1"/>
                <w:color w:val="auto"/>
                <w:w w:val="83"/>
              </w:rPr>
              <w:t>Title of each class</w:t>
            </w:r>
          </w:p>
        </w:tc>
        <w:tc>
          <w:tcPr>
            <w:tcW w:w="2420" w:type="dxa"/>
            <w:vAlign w:val="bottom"/>
            <w:gridSpan w:val="2"/>
          </w:tcPr>
          <w:p>
            <w:pPr>
              <w:jc w:val="center"/>
              <w:ind w:right="60"/>
              <w:spacing w:after="0"/>
              <w:rPr>
                <w:sz w:val="20"/>
                <w:szCs w:val="20"/>
                <w:color w:val="auto"/>
              </w:rPr>
            </w:pPr>
            <w:r>
              <w:rPr>
                <w:rFonts w:ascii="Arial" w:cs="Arial" w:eastAsia="Arial" w:hAnsi="Arial"/>
                <w:sz w:val="10"/>
                <w:szCs w:val="10"/>
                <w:b w:val="1"/>
                <w:bCs w:val="1"/>
                <w:color w:val="auto"/>
                <w:w w:val="82"/>
              </w:rPr>
              <w:t>Symbol(s)</w:t>
            </w:r>
          </w:p>
        </w:tc>
        <w:tc>
          <w:tcPr>
            <w:tcW w:w="2360" w:type="dxa"/>
            <w:vAlign w:val="bottom"/>
          </w:tcPr>
          <w:p>
            <w:pPr>
              <w:jc w:val="center"/>
              <w:spacing w:after="0"/>
              <w:rPr>
                <w:sz w:val="20"/>
                <w:szCs w:val="20"/>
                <w:color w:val="auto"/>
              </w:rPr>
            </w:pPr>
            <w:r>
              <w:rPr>
                <w:rFonts w:ascii="Arial" w:cs="Arial" w:eastAsia="Arial" w:hAnsi="Arial"/>
                <w:sz w:val="10"/>
                <w:szCs w:val="10"/>
                <w:b w:val="1"/>
                <w:bCs w:val="1"/>
                <w:color w:val="auto"/>
                <w:w w:val="84"/>
              </w:rPr>
              <w:t>on which registered</w:t>
            </w:r>
          </w:p>
        </w:tc>
      </w:tr>
      <w:tr>
        <w:trPr>
          <w:trHeight w:val="120"/>
        </w:trPr>
        <w:tc>
          <w:tcPr>
            <w:tcW w:w="2480" w:type="dxa"/>
            <w:vAlign w:val="bottom"/>
            <w:tcBorders>
              <w:top w:val="single" w:sz="8" w:color="auto"/>
            </w:tcBorders>
          </w:tcPr>
          <w:p>
            <w:pPr>
              <w:jc w:val="center"/>
              <w:spacing w:after="0" w:line="120" w:lineRule="exact"/>
              <w:rPr>
                <w:sz w:val="20"/>
                <w:szCs w:val="20"/>
                <w:color w:val="auto"/>
              </w:rPr>
            </w:pPr>
            <w:r>
              <w:rPr>
                <w:rFonts w:ascii="Arial" w:cs="Arial" w:eastAsia="Arial" w:hAnsi="Arial"/>
                <w:sz w:val="12"/>
                <w:szCs w:val="12"/>
                <w:b w:val="1"/>
                <w:bCs w:val="1"/>
                <w:color w:val="auto"/>
                <w:w w:val="89"/>
              </w:rPr>
              <w:t>Class A common stock, par value $0.0001 per</w:t>
            </w:r>
          </w:p>
        </w:tc>
        <w:tc>
          <w:tcPr>
            <w:tcW w:w="80" w:type="dxa"/>
            <w:vAlign w:val="bottom"/>
          </w:tcPr>
          <w:p>
            <w:pPr>
              <w:spacing w:after="0"/>
              <w:rPr>
                <w:sz w:val="10"/>
                <w:szCs w:val="10"/>
                <w:color w:val="auto"/>
              </w:rPr>
            </w:pPr>
          </w:p>
        </w:tc>
        <w:tc>
          <w:tcPr>
            <w:tcW w:w="2360" w:type="dxa"/>
            <w:vAlign w:val="bottom"/>
            <w:tcBorders>
              <w:top w:val="single" w:sz="8" w:color="auto"/>
            </w:tcBorders>
          </w:tcPr>
          <w:p>
            <w:pPr>
              <w:jc w:val="center"/>
              <w:spacing w:after="0" w:line="120" w:lineRule="exact"/>
              <w:rPr>
                <w:sz w:val="20"/>
                <w:szCs w:val="20"/>
                <w:color w:val="auto"/>
              </w:rPr>
            </w:pPr>
            <w:r>
              <w:rPr>
                <w:rFonts w:ascii="Arial" w:cs="Arial" w:eastAsia="Arial" w:hAnsi="Arial"/>
                <w:sz w:val="12"/>
                <w:szCs w:val="12"/>
                <w:b w:val="1"/>
                <w:bCs w:val="1"/>
                <w:color w:val="auto"/>
              </w:rPr>
              <w:t>RANI</w:t>
            </w:r>
          </w:p>
        </w:tc>
        <w:tc>
          <w:tcPr>
            <w:tcW w:w="60" w:type="dxa"/>
            <w:vAlign w:val="bottom"/>
          </w:tcPr>
          <w:p>
            <w:pPr>
              <w:spacing w:after="0"/>
              <w:rPr>
                <w:sz w:val="10"/>
                <w:szCs w:val="10"/>
                <w:color w:val="auto"/>
              </w:rPr>
            </w:pPr>
          </w:p>
        </w:tc>
        <w:tc>
          <w:tcPr>
            <w:tcW w:w="2360" w:type="dxa"/>
            <w:vAlign w:val="bottom"/>
            <w:tcBorders>
              <w:top w:val="single" w:sz="8" w:color="auto"/>
            </w:tcBorders>
          </w:tcPr>
          <w:p>
            <w:pPr>
              <w:jc w:val="center"/>
              <w:spacing w:after="0" w:line="120" w:lineRule="exact"/>
              <w:rPr>
                <w:sz w:val="20"/>
                <w:szCs w:val="20"/>
                <w:color w:val="auto"/>
              </w:rPr>
            </w:pPr>
            <w:r>
              <w:rPr>
                <w:rFonts w:ascii="Arial" w:cs="Arial" w:eastAsia="Arial" w:hAnsi="Arial"/>
                <w:sz w:val="12"/>
                <w:szCs w:val="12"/>
                <w:b w:val="1"/>
                <w:bCs w:val="1"/>
                <w:color w:val="auto"/>
                <w:w w:val="94"/>
              </w:rPr>
              <w:t>The Nasdaq Stock Market LLC</w:t>
            </w:r>
          </w:p>
        </w:tc>
      </w:tr>
      <w:tr>
        <w:trPr>
          <w:trHeight w:val="157"/>
        </w:trPr>
        <w:tc>
          <w:tcPr>
            <w:tcW w:w="2560" w:type="dxa"/>
            <w:vAlign w:val="bottom"/>
            <w:gridSpan w:val="2"/>
          </w:tcPr>
          <w:p>
            <w:pPr>
              <w:jc w:val="center"/>
              <w:ind w:right="80"/>
              <w:spacing w:after="0"/>
              <w:rPr>
                <w:sz w:val="20"/>
                <w:szCs w:val="20"/>
                <w:color w:val="auto"/>
              </w:rPr>
            </w:pPr>
            <w:r>
              <w:rPr>
                <w:rFonts w:ascii="Arial" w:cs="Arial" w:eastAsia="Arial" w:hAnsi="Arial"/>
                <w:sz w:val="12"/>
                <w:szCs w:val="12"/>
                <w:b w:val="1"/>
                <w:bCs w:val="1"/>
                <w:color w:val="auto"/>
                <w:w w:val="87"/>
              </w:rPr>
              <w:t>share</w:t>
            </w:r>
          </w:p>
        </w:tc>
        <w:tc>
          <w:tcPr>
            <w:tcW w:w="23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360" w:type="dxa"/>
            <w:vAlign w:val="bottom"/>
          </w:tcPr>
          <w:p>
            <w:pPr>
              <w:spacing w:after="0"/>
              <w:rPr>
                <w:sz w:val="13"/>
                <w:szCs w:val="13"/>
                <w:color w:val="auto"/>
              </w:rPr>
            </w:pPr>
          </w:p>
        </w:tc>
      </w:tr>
    </w:tbl>
    <w:p>
      <w:pPr>
        <w:spacing w:after="0" w:line="117" w:lineRule="exact"/>
        <w:rPr>
          <w:sz w:val="24"/>
          <w:szCs w:val="24"/>
          <w:color w:val="auto"/>
        </w:rPr>
      </w:pPr>
    </w:p>
    <w:p>
      <w:pPr>
        <w:ind w:left="840" w:right="1119"/>
        <w:spacing w:after="0" w:line="276" w:lineRule="auto"/>
        <w:rPr>
          <w:sz w:val="20"/>
          <w:szCs w:val="20"/>
          <w:color w:val="auto"/>
        </w:rPr>
      </w:pPr>
      <w:r>
        <w:rPr>
          <w:rFonts w:ascii="Arial" w:cs="Arial" w:eastAsia="Arial" w:hAnsi="Arial"/>
          <w:sz w:val="12"/>
          <w:szCs w:val="12"/>
          <w:color w:val="auto"/>
        </w:rPr>
        <w:t>Indicate by check mark whether the registrant is an emerging growth company as defined in as defined in Rule 405 of the Securities Act of 1933 (§ 230.405 of this chapter) or Rule 12b-2 of the Securities Exchange Act of 1934 (§ 240.12b-2 of this chapter).</w:t>
      </w:r>
    </w:p>
    <w:p>
      <w:pPr>
        <w:spacing w:after="0" w:line="65" w:lineRule="exact"/>
        <w:rPr>
          <w:sz w:val="24"/>
          <w:szCs w:val="24"/>
          <w:color w:val="auto"/>
        </w:rPr>
      </w:pPr>
    </w:p>
    <w:p>
      <w:pPr>
        <w:ind w:left="6720"/>
        <w:spacing w:after="0" w:line="127" w:lineRule="exact"/>
        <w:rPr>
          <w:sz w:val="20"/>
          <w:szCs w:val="20"/>
          <w:color w:val="auto"/>
        </w:rPr>
      </w:pPr>
      <w:r>
        <w:rPr>
          <w:rFonts w:ascii="Arial" w:cs="Arial" w:eastAsia="Arial" w:hAnsi="Arial"/>
          <w:sz w:val="11"/>
          <w:szCs w:val="11"/>
          <w:color w:val="auto"/>
        </w:rPr>
        <w:t xml:space="preserve">Emerging growth company </w:t>
      </w:r>
      <w:r>
        <w:rPr>
          <w:rFonts w:ascii="MS PGothic" w:cs="MS PGothic" w:eastAsia="MS PGothic" w:hAnsi="MS PGothic"/>
          <w:sz w:val="11"/>
          <w:szCs w:val="11"/>
          <w:color w:val="auto"/>
        </w:rPr>
        <w:t>☒</w:t>
      </w:r>
    </w:p>
    <w:p>
      <w:pPr>
        <w:spacing w:after="0" w:line="157" w:lineRule="exact"/>
        <w:rPr>
          <w:sz w:val="24"/>
          <w:szCs w:val="24"/>
          <w:color w:val="auto"/>
        </w:rPr>
      </w:pPr>
    </w:p>
    <w:p>
      <w:pPr>
        <w:ind w:left="840" w:right="1039"/>
        <w:spacing w:after="0" w:line="155" w:lineRule="exact"/>
        <w:rPr>
          <w:sz w:val="20"/>
          <w:szCs w:val="20"/>
          <w:color w:val="auto"/>
        </w:rPr>
      </w:pPr>
      <w:r>
        <w:rPr>
          <w:rFonts w:ascii="Arial" w:cs="Arial" w:eastAsia="Arial" w:hAnsi="Arial"/>
          <w:sz w:val="12"/>
          <w:szCs w:val="12"/>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2"/>
          <w:szCs w:val="12"/>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528320</wp:posOffset>
            </wp:positionH>
            <wp:positionV relativeFrom="paragraph">
              <wp:posOffset>61595</wp:posOffset>
            </wp:positionV>
            <wp:extent cx="4663440" cy="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663440" cy="5715"/>
                    </a:xfrm>
                    <a:prstGeom prst="rect">
                      <a:avLst/>
                    </a:prstGeom>
                    <a:noFill/>
                  </pic:spPr>
                </pic:pic>
              </a:graphicData>
            </a:graphic>
          </wp:anchor>
        </w:drawing>
        <w:drawing>
          <wp:anchor simplePos="0" relativeHeight="251657728" behindDoc="1" locked="0" layoutInCell="0" allowOverlap="1">
            <wp:simplePos x="0" y="0"/>
            <wp:positionH relativeFrom="column">
              <wp:posOffset>528320</wp:posOffset>
            </wp:positionH>
            <wp:positionV relativeFrom="paragraph">
              <wp:posOffset>90170</wp:posOffset>
            </wp:positionV>
            <wp:extent cx="4663440" cy="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663440" cy="5715"/>
                    </a:xfrm>
                    <a:prstGeom prst="rect">
                      <a:avLst/>
                    </a:prstGeom>
                    <a:noFill/>
                  </pic:spPr>
                </pic:pic>
              </a:graphicData>
            </a:graphic>
          </wp:anchor>
        </w:drawing>
      </w:r>
    </w:p>
    <w:p>
      <w:pPr>
        <w:sectPr>
          <w:pgSz w:w="11900" w:h="16838" w:orient="portrait"/>
          <w:cols w:equalWidth="0" w:num="1">
            <w:col w:w="9019"/>
          </w:cols>
          <w:pgMar w:left="1440" w:top="292" w:right="1440" w:bottom="1440" w:gutter="0" w:footer="0" w:header="0"/>
        </w:sectPr>
      </w:pPr>
    </w:p>
    <w:bookmarkStart w:id="1" w:name="page2"/>
    <w:bookmarkEnd w:id="1"/>
    <w:p>
      <w:pPr>
        <w:ind w:left="840"/>
        <w:spacing w:after="0"/>
        <w:tabs>
          <w:tab w:leader="none" w:pos="1620" w:val="left"/>
        </w:tabs>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14870" cy="412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4870" cy="41275"/>
                    </a:xfrm>
                    <a:prstGeom prst="rect">
                      <a:avLst/>
                    </a:prstGeom>
                    <a:noFill/>
                  </pic:spPr>
                </pic:pic>
              </a:graphicData>
            </a:graphic>
          </wp:anchor>
        </w:drawing>
        <w:t>Item 7.01</w:t>
      </w:r>
      <w:r>
        <w:rPr>
          <w:sz w:val="20"/>
          <w:szCs w:val="20"/>
          <w:color w:val="auto"/>
        </w:rPr>
        <w:tab/>
      </w:r>
      <w:r>
        <w:rPr>
          <w:rFonts w:ascii="Arial" w:cs="Arial" w:eastAsia="Arial" w:hAnsi="Arial"/>
          <w:sz w:val="10"/>
          <w:szCs w:val="10"/>
          <w:b w:val="1"/>
          <w:bCs w:val="1"/>
          <w:color w:val="auto"/>
        </w:rPr>
        <w:t>Regulation FD Disclosure.</w:t>
      </w:r>
    </w:p>
    <w:p>
      <w:pPr>
        <w:spacing w:after="0" w:line="82" w:lineRule="exact"/>
        <w:rPr>
          <w:sz w:val="20"/>
          <w:szCs w:val="20"/>
          <w:color w:val="auto"/>
        </w:rPr>
      </w:pPr>
    </w:p>
    <w:p>
      <w:pPr>
        <w:ind w:left="840" w:right="859"/>
        <w:spacing w:after="0" w:line="289" w:lineRule="auto"/>
        <w:rPr>
          <w:sz w:val="20"/>
          <w:szCs w:val="20"/>
          <w:color w:val="auto"/>
        </w:rPr>
      </w:pPr>
      <w:r>
        <w:rPr>
          <w:rFonts w:ascii="Arial" w:cs="Arial" w:eastAsia="Arial" w:hAnsi="Arial"/>
          <w:sz w:val="11"/>
          <w:szCs w:val="11"/>
          <w:color w:val="auto"/>
        </w:rPr>
        <w:t>Rani Therapeutics Holdings, Inc. (the “Company”) is furnishing a copy of an investor presentation (the “Presentation”) that the Company intends to use, in whole or in part, during the Company’s presentation at the 2021 Cantor Fitzgerald Virtual Global Healthcare Conference on September 30, 2021. The Presentation, including the video content contained therein, can be accessed through the “Investors” section of the Company’s website. A copy of the Presentation is furnished as Exhibit 99.1 to this Current Report on Form 8-K and is incorporated by reference herein.</w:t>
      </w:r>
    </w:p>
    <w:p>
      <w:pPr>
        <w:spacing w:after="0" w:line="111" w:lineRule="exact"/>
        <w:rPr>
          <w:sz w:val="20"/>
          <w:szCs w:val="20"/>
          <w:color w:val="auto"/>
        </w:rPr>
      </w:pPr>
    </w:p>
    <w:p>
      <w:pPr>
        <w:jc w:val="both"/>
        <w:ind w:left="840" w:right="899"/>
        <w:spacing w:after="0" w:line="298" w:lineRule="auto"/>
        <w:rPr>
          <w:sz w:val="20"/>
          <w:szCs w:val="20"/>
          <w:color w:val="auto"/>
        </w:rPr>
      </w:pPr>
      <w:r>
        <w:rPr>
          <w:rFonts w:ascii="Arial" w:cs="Arial" w:eastAsia="Arial" w:hAnsi="Arial"/>
          <w:sz w:val="11"/>
          <w:szCs w:val="11"/>
          <w:color w:val="auto"/>
        </w:rPr>
        <w:t>All of the information furnished in this Item 7.01 and Item 9.01 (including Exhibit 99.1) shall not be deemed to be “filed” for purposes of Section 18 of the Securities Exchange Act of 1934, as amended (“Exchange Act”), and shall not be incorporated by reference in any filing under the Securities Act of 1933, as amended, or the Exchange Act, except as shall be expressly set forth by specific reference in such a filing.</w:t>
      </w:r>
    </w:p>
    <w:p>
      <w:pPr>
        <w:spacing w:after="0" w:line="200" w:lineRule="exact"/>
        <w:rPr>
          <w:sz w:val="20"/>
          <w:szCs w:val="20"/>
          <w:color w:val="auto"/>
        </w:rPr>
      </w:pPr>
    </w:p>
    <w:p>
      <w:pPr>
        <w:ind w:left="840"/>
        <w:spacing w:after="0"/>
        <w:tabs>
          <w:tab w:leader="none" w:pos="1620" w:val="left"/>
        </w:tabs>
        <w:rPr>
          <w:sz w:val="20"/>
          <w:szCs w:val="20"/>
          <w:color w:val="auto"/>
        </w:rPr>
      </w:pPr>
      <w:r>
        <w:rPr>
          <w:rFonts w:ascii="Arial" w:cs="Arial" w:eastAsia="Arial" w:hAnsi="Arial"/>
          <w:sz w:val="12"/>
          <w:szCs w:val="12"/>
          <w:b w:val="1"/>
          <w:bCs w:val="1"/>
          <w:color w:val="auto"/>
        </w:rPr>
        <w:t>Item 9.01</w:t>
      </w:r>
      <w:r>
        <w:rPr>
          <w:sz w:val="20"/>
          <w:szCs w:val="20"/>
          <w:color w:val="auto"/>
        </w:rPr>
        <w:tab/>
      </w:r>
      <w:r>
        <w:rPr>
          <w:rFonts w:ascii="Arial" w:cs="Arial" w:eastAsia="Arial" w:hAnsi="Arial"/>
          <w:sz w:val="10"/>
          <w:szCs w:val="10"/>
          <w:b w:val="1"/>
          <w:bCs w:val="1"/>
          <w:color w:val="auto"/>
        </w:rPr>
        <w:t>Financial Statements and Exhibits.</w:t>
      </w:r>
    </w:p>
    <w:p>
      <w:pPr>
        <w:spacing w:after="0" w:line="78" w:lineRule="exact"/>
        <w:rPr>
          <w:sz w:val="20"/>
          <w:szCs w:val="20"/>
          <w:color w:val="auto"/>
        </w:rPr>
      </w:pPr>
    </w:p>
    <w:p>
      <w:pPr>
        <w:ind w:left="840"/>
        <w:spacing w:after="0"/>
        <w:rPr>
          <w:sz w:val="20"/>
          <w:szCs w:val="20"/>
          <w:color w:val="auto"/>
        </w:rPr>
      </w:pPr>
      <w:r>
        <w:rPr>
          <w:rFonts w:ascii="Arial" w:cs="Arial" w:eastAsia="Arial" w:hAnsi="Arial"/>
          <w:sz w:val="12"/>
          <w:szCs w:val="12"/>
          <w:b w:val="1"/>
          <w:bCs w:val="1"/>
          <w:color w:val="auto"/>
        </w:rPr>
        <w:t>(d) Exhibits</w:t>
      </w:r>
    </w:p>
    <w:p>
      <w:pPr>
        <w:spacing w:after="0" w:line="156" w:lineRule="exact"/>
        <w:rPr>
          <w:sz w:val="20"/>
          <w:szCs w:val="20"/>
          <w:color w:val="auto"/>
        </w:rPr>
      </w:pPr>
    </w:p>
    <w:tbl>
      <w:tblPr>
        <w:tblLayout w:type="fixed"/>
        <w:tblInd w:w="840" w:type="dxa"/>
        <w:tblCellMar>
          <w:top w:w="0" w:type="dxa"/>
          <w:left w:w="0" w:type="dxa"/>
          <w:bottom w:w="0" w:type="dxa"/>
          <w:right w:w="0" w:type="dxa"/>
        </w:tblCellMar>
      </w:tblPr>
      <w:tr>
        <w:trPr>
          <w:trHeight w:val="115"/>
        </w:trPr>
        <w:tc>
          <w:tcPr>
            <w:tcW w:w="340" w:type="dxa"/>
            <w:vAlign w:val="bottom"/>
            <w:gridSpan w:val="2"/>
          </w:tcPr>
          <w:p>
            <w:pPr>
              <w:spacing w:after="0"/>
              <w:rPr>
                <w:sz w:val="20"/>
                <w:szCs w:val="20"/>
                <w:color w:val="auto"/>
              </w:rPr>
            </w:pPr>
            <w:r>
              <w:rPr>
                <w:rFonts w:ascii="Arial" w:cs="Arial" w:eastAsia="Arial" w:hAnsi="Arial"/>
                <w:sz w:val="10"/>
                <w:szCs w:val="10"/>
                <w:b w:val="1"/>
                <w:bCs w:val="1"/>
                <w:color w:val="auto"/>
                <w:w w:val="95"/>
              </w:rPr>
              <w:t>Exhibit</w:t>
            </w:r>
          </w:p>
        </w:tc>
        <w:tc>
          <w:tcPr>
            <w:tcW w:w="340" w:type="dxa"/>
            <w:vAlign w:val="bottom"/>
          </w:tcPr>
          <w:p>
            <w:pPr>
              <w:spacing w:after="0"/>
              <w:rPr>
                <w:sz w:val="10"/>
                <w:szCs w:val="10"/>
                <w:color w:val="auto"/>
              </w:rPr>
            </w:pPr>
          </w:p>
        </w:tc>
        <w:tc>
          <w:tcPr>
            <w:tcW w:w="820" w:type="dxa"/>
            <w:vAlign w:val="bottom"/>
            <w:vMerge w:val="restart"/>
          </w:tcPr>
          <w:p>
            <w:pPr>
              <w:spacing w:after="0"/>
              <w:rPr>
                <w:sz w:val="20"/>
                <w:szCs w:val="20"/>
                <w:color w:val="auto"/>
              </w:rPr>
            </w:pPr>
            <w:r>
              <w:rPr>
                <w:rFonts w:ascii="Arial" w:cs="Arial" w:eastAsia="Arial" w:hAnsi="Arial"/>
                <w:sz w:val="10"/>
                <w:szCs w:val="10"/>
                <w:b w:val="1"/>
                <w:bCs w:val="1"/>
                <w:color w:val="auto"/>
                <w:w w:val="87"/>
              </w:rPr>
              <w:t>Exhibit Description</w:t>
            </w:r>
          </w:p>
        </w:tc>
        <w:tc>
          <w:tcPr>
            <w:tcW w:w="3040" w:type="dxa"/>
            <w:vAlign w:val="bottom"/>
            <w:vMerge w:val="restart"/>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300" w:type="dxa"/>
            <w:vAlign w:val="bottom"/>
            <w:tcBorders>
              <w:top w:val="single" w:sz="8" w:color="auto"/>
              <w:bottom w:val="single" w:sz="8" w:color="auto"/>
            </w:tcBorders>
          </w:tcPr>
          <w:p>
            <w:pPr>
              <w:spacing w:after="0" w:line="88" w:lineRule="exact"/>
              <w:rPr>
                <w:sz w:val="20"/>
                <w:szCs w:val="20"/>
                <w:color w:val="auto"/>
              </w:rPr>
            </w:pPr>
            <w:r>
              <w:rPr>
                <w:rFonts w:ascii="Arial" w:cs="Arial" w:eastAsia="Arial" w:hAnsi="Arial"/>
                <w:sz w:val="10"/>
                <w:szCs w:val="10"/>
                <w:b w:val="1"/>
                <w:bCs w:val="1"/>
                <w:color w:val="auto"/>
                <w:w w:val="73"/>
              </w:rPr>
              <w:t>Number</w:t>
            </w:r>
          </w:p>
        </w:tc>
        <w:tc>
          <w:tcPr>
            <w:tcW w:w="40" w:type="dxa"/>
            <w:vAlign w:val="bottom"/>
            <w:tcBorders>
              <w:bottom w:val="single" w:sz="8" w:color="auto"/>
            </w:tcBorders>
          </w:tcPr>
          <w:p>
            <w:pPr>
              <w:spacing w:after="0"/>
              <w:rPr>
                <w:sz w:val="7"/>
                <w:szCs w:val="7"/>
                <w:color w:val="auto"/>
              </w:rPr>
            </w:pPr>
          </w:p>
        </w:tc>
        <w:tc>
          <w:tcPr>
            <w:tcW w:w="340" w:type="dxa"/>
            <w:vAlign w:val="bottom"/>
          </w:tcPr>
          <w:p>
            <w:pPr>
              <w:spacing w:after="0"/>
              <w:rPr>
                <w:sz w:val="7"/>
                <w:szCs w:val="7"/>
                <w:color w:val="auto"/>
              </w:rPr>
            </w:pPr>
          </w:p>
        </w:tc>
        <w:tc>
          <w:tcPr>
            <w:tcW w:w="820" w:type="dxa"/>
            <w:vAlign w:val="bottom"/>
            <w:tcBorders>
              <w:bottom w:val="single" w:sz="8" w:color="auto"/>
            </w:tcBorders>
            <w:vMerge w:val="continue"/>
          </w:tcPr>
          <w:p>
            <w:pPr>
              <w:spacing w:after="0"/>
              <w:rPr>
                <w:sz w:val="7"/>
                <w:szCs w:val="7"/>
                <w:color w:val="auto"/>
              </w:rPr>
            </w:pPr>
          </w:p>
        </w:tc>
        <w:tc>
          <w:tcPr>
            <w:tcW w:w="30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78"/>
        </w:trPr>
        <w:tc>
          <w:tcPr>
            <w:tcW w:w="300" w:type="dxa"/>
            <w:vAlign w:val="bottom"/>
          </w:tcPr>
          <w:p>
            <w:pPr>
              <w:spacing w:after="0"/>
              <w:rPr>
                <w:sz w:val="20"/>
                <w:szCs w:val="20"/>
                <w:color w:val="auto"/>
              </w:rPr>
            </w:pPr>
            <w:r>
              <w:rPr>
                <w:rFonts w:ascii="Arial" w:cs="Arial" w:eastAsia="Arial" w:hAnsi="Arial"/>
                <w:sz w:val="12"/>
                <w:szCs w:val="12"/>
                <w:color w:val="auto"/>
              </w:rPr>
              <w:t>99.1</w:t>
            </w:r>
          </w:p>
        </w:tc>
        <w:tc>
          <w:tcPr>
            <w:tcW w:w="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3860" w:type="dxa"/>
            <w:vAlign w:val="bottom"/>
            <w:tcBorders>
              <w:bottom w:val="single" w:sz="8" w:color="0000EE"/>
            </w:tcBorders>
            <w:gridSpan w:val="2"/>
          </w:tcPr>
          <w:p>
            <w:pPr>
              <w:spacing w:after="0"/>
              <w:rPr>
                <w:rFonts w:ascii="Arial" w:cs="Arial" w:eastAsia="Arial" w:hAnsi="Arial"/>
                <w:sz w:val="12"/>
                <w:szCs w:val="12"/>
                <w:color w:val="0000EE"/>
                <w:w w:val="89"/>
              </w:rPr>
            </w:pPr>
            <w:hyperlink w:anchor="page4">
              <w:r>
                <w:rPr>
                  <w:rFonts w:ascii="Arial" w:cs="Arial" w:eastAsia="Arial" w:hAnsi="Arial"/>
                  <w:sz w:val="12"/>
                  <w:szCs w:val="12"/>
                  <w:color w:val="0000EE"/>
                  <w:w w:val="89"/>
                </w:rPr>
                <w:t>Rani Therapeutics Holdings, Inc. Corporate Presentation dated September 2021.</w:t>
              </w:r>
            </w:hyperlink>
          </w:p>
        </w:tc>
        <w:tc>
          <w:tcPr>
            <w:tcW w:w="0" w:type="dxa"/>
            <w:vAlign w:val="bottom"/>
          </w:tcPr>
          <w:p>
            <w:pPr>
              <w:spacing w:after="0"/>
              <w:rPr>
                <w:sz w:val="1"/>
                <w:szCs w:val="1"/>
                <w:color w:val="auto"/>
              </w:rPr>
            </w:pPr>
          </w:p>
        </w:tc>
      </w:tr>
      <w:tr>
        <w:trPr>
          <w:trHeight w:val="223"/>
        </w:trPr>
        <w:tc>
          <w:tcPr>
            <w:tcW w:w="300" w:type="dxa"/>
            <w:vAlign w:val="bottom"/>
          </w:tcPr>
          <w:p>
            <w:pPr>
              <w:spacing w:after="0"/>
              <w:rPr>
                <w:sz w:val="20"/>
                <w:szCs w:val="20"/>
                <w:color w:val="auto"/>
              </w:rPr>
            </w:pPr>
            <w:r>
              <w:rPr>
                <w:rFonts w:ascii="Arial" w:cs="Arial" w:eastAsia="Arial" w:hAnsi="Arial"/>
                <w:sz w:val="12"/>
                <w:szCs w:val="12"/>
                <w:color w:val="auto"/>
              </w:rPr>
              <w:t>104</w:t>
            </w:r>
          </w:p>
        </w:tc>
        <w:tc>
          <w:tcPr>
            <w:tcW w:w="4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3860" w:type="dxa"/>
            <w:vAlign w:val="bottom"/>
            <w:gridSpan w:val="2"/>
          </w:tcPr>
          <w:p>
            <w:pPr>
              <w:spacing w:after="0"/>
              <w:rPr>
                <w:sz w:val="20"/>
                <w:szCs w:val="20"/>
                <w:color w:val="auto"/>
              </w:rPr>
            </w:pPr>
            <w:r>
              <w:rPr>
                <w:rFonts w:ascii="Arial" w:cs="Arial" w:eastAsia="Arial" w:hAnsi="Arial"/>
                <w:sz w:val="12"/>
                <w:szCs w:val="12"/>
                <w:color w:val="auto"/>
                <w:w w:val="91"/>
              </w:rPr>
              <w:t>Cover Page Interactive Data File (embedded within the Inline XBRL document)</w:t>
            </w:r>
          </w:p>
        </w:tc>
        <w:tc>
          <w:tcPr>
            <w:tcW w:w="0" w:type="dxa"/>
            <w:vAlign w:val="bottom"/>
          </w:tcPr>
          <w:p>
            <w:pPr>
              <w:spacing w:after="0"/>
              <w:rPr>
                <w:sz w:val="1"/>
                <w:szCs w:val="1"/>
                <w:color w:val="auto"/>
              </w:rPr>
            </w:pPr>
          </w:p>
        </w:tc>
      </w:tr>
    </w:tbl>
    <w:p>
      <w:pPr>
        <w:sectPr>
          <w:pgSz w:w="11900" w:h="16838" w:orient="portrait"/>
          <w:cols w:equalWidth="0" w:num="1">
            <w:col w:w="9019"/>
          </w:cols>
          <w:pgMar w:left="1440" w:top="244" w:right="1440" w:bottom="1440" w:gutter="0" w:footer="0" w:header="0"/>
        </w:sectPr>
      </w:pPr>
    </w:p>
    <w:bookmarkStart w:id="2" w:name="page3"/>
    <w:bookmarkEnd w:id="2"/>
    <w:p>
      <w:pPr>
        <w:jc w:val="center"/>
        <w:spacing w:after="0"/>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14870" cy="412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4870" cy="41275"/>
                    </a:xfrm>
                    <a:prstGeom prst="rect">
                      <a:avLst/>
                    </a:prstGeom>
                    <a:noFill/>
                  </pic:spPr>
                </pic:pic>
              </a:graphicData>
            </a:graphic>
          </wp:anchor>
        </w:drawing>
        <w:t>SIGNATURES</w:t>
      </w:r>
    </w:p>
    <w:p>
      <w:pPr>
        <w:spacing w:after="0" w:line="154" w:lineRule="exact"/>
        <w:rPr>
          <w:sz w:val="20"/>
          <w:szCs w:val="20"/>
          <w:color w:val="auto"/>
        </w:rPr>
      </w:pPr>
    </w:p>
    <w:p>
      <w:pPr>
        <w:ind w:left="840" w:right="1039" w:firstLine="294"/>
        <w:spacing w:after="0" w:line="276" w:lineRule="auto"/>
        <w:rPr>
          <w:sz w:val="20"/>
          <w:szCs w:val="20"/>
          <w:color w:val="auto"/>
        </w:rPr>
      </w:pPr>
      <w:r>
        <w:rPr>
          <w:rFonts w:ascii="Arial" w:cs="Arial" w:eastAsia="Arial" w:hAnsi="Arial"/>
          <w:sz w:val="12"/>
          <w:szCs w:val="12"/>
          <w:color w:val="auto"/>
        </w:rPr>
        <w:t>Pursuant to the requirements of the Securities Exchange Act of 1934, the registrant has duly caused this report to be signed on its behalf by the undersigned hereunto duly authorized.</w:t>
      </w:r>
    </w:p>
    <w:p>
      <w:pPr>
        <w:spacing w:after="0" w:line="129" w:lineRule="exact"/>
        <w:rPr>
          <w:sz w:val="20"/>
          <w:szCs w:val="20"/>
          <w:color w:val="auto"/>
        </w:rPr>
      </w:pPr>
    </w:p>
    <w:p>
      <w:pPr>
        <w:ind w:left="4380"/>
        <w:spacing w:after="0"/>
        <w:rPr>
          <w:sz w:val="20"/>
          <w:szCs w:val="20"/>
          <w:color w:val="auto"/>
        </w:rPr>
      </w:pPr>
      <w:r>
        <w:rPr>
          <w:rFonts w:ascii="Arial" w:cs="Arial" w:eastAsia="Arial" w:hAnsi="Arial"/>
          <w:sz w:val="12"/>
          <w:szCs w:val="12"/>
          <w:b w:val="1"/>
          <w:bCs w:val="1"/>
          <w:color w:val="auto"/>
        </w:rPr>
        <w:t>Rani Therapeutics Holdings, Inc.</w:t>
      </w:r>
    </w:p>
    <w:p>
      <w:pPr>
        <w:spacing w:after="0" w:line="154" w:lineRule="exact"/>
        <w:rPr>
          <w:sz w:val="20"/>
          <w:szCs w:val="20"/>
          <w:color w:val="auto"/>
        </w:rPr>
      </w:pPr>
    </w:p>
    <w:p>
      <w:pPr>
        <w:ind w:left="840"/>
        <w:spacing w:after="0"/>
        <w:tabs>
          <w:tab w:leader="none" w:pos="4360" w:val="left"/>
          <w:tab w:leader="none" w:pos="4760" w:val="left"/>
        </w:tabs>
        <w:rPr>
          <w:sz w:val="20"/>
          <w:szCs w:val="20"/>
          <w:color w:val="auto"/>
        </w:rPr>
      </w:pPr>
      <w:r>
        <w:rPr>
          <w:rFonts w:ascii="Arial" w:cs="Arial" w:eastAsia="Arial" w:hAnsi="Arial"/>
          <w:sz w:val="12"/>
          <w:szCs w:val="12"/>
          <w:color w:val="auto"/>
        </w:rPr>
        <w:t>Date: September 29, 2021</w:t>
      </w:r>
      <w:r>
        <w:rPr>
          <w:sz w:val="20"/>
          <w:szCs w:val="20"/>
          <w:color w:val="auto"/>
        </w:rPr>
        <w:tab/>
      </w:r>
      <w:r>
        <w:rPr>
          <w:rFonts w:ascii="Arial" w:cs="Arial" w:eastAsia="Arial" w:hAnsi="Arial"/>
          <w:sz w:val="12"/>
          <w:szCs w:val="12"/>
          <w:color w:val="auto"/>
        </w:rPr>
        <w:t>By:</w:t>
      </w:r>
      <w:r>
        <w:rPr>
          <w:sz w:val="20"/>
          <w:szCs w:val="20"/>
          <w:color w:val="auto"/>
        </w:rPr>
        <w:tab/>
      </w:r>
      <w:r>
        <w:rPr>
          <w:rFonts w:ascii="Arial" w:cs="Arial" w:eastAsia="Arial" w:hAnsi="Arial"/>
          <w:sz w:val="11"/>
          <w:szCs w:val="11"/>
          <w:color w:val="auto"/>
        </w:rPr>
        <w:t>/s/ Svai Sanford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2962910</wp:posOffset>
            </wp:positionH>
            <wp:positionV relativeFrom="paragraph">
              <wp:posOffset>9525</wp:posOffset>
            </wp:positionV>
            <wp:extent cx="1908810" cy="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908810" cy="5715"/>
                    </a:xfrm>
                    <a:prstGeom prst="rect">
                      <a:avLst/>
                    </a:prstGeom>
                    <a:noFill/>
                  </pic:spPr>
                </pic:pic>
              </a:graphicData>
            </a:graphic>
          </wp:anchor>
        </w:drawing>
      </w:r>
    </w:p>
    <w:p>
      <w:pPr>
        <w:spacing w:after="0" w:line="13" w:lineRule="exact"/>
        <w:rPr>
          <w:sz w:val="20"/>
          <w:szCs w:val="20"/>
          <w:color w:val="auto"/>
        </w:rPr>
      </w:pPr>
    </w:p>
    <w:p>
      <w:pPr>
        <w:ind w:left="4780"/>
        <w:spacing w:after="0"/>
        <w:rPr>
          <w:sz w:val="20"/>
          <w:szCs w:val="20"/>
          <w:color w:val="auto"/>
        </w:rPr>
      </w:pPr>
      <w:r>
        <w:rPr>
          <w:rFonts w:ascii="Arial" w:cs="Arial" w:eastAsia="Arial" w:hAnsi="Arial"/>
          <w:sz w:val="12"/>
          <w:szCs w:val="12"/>
          <w:color w:val="auto"/>
        </w:rPr>
        <w:t>Svai Sanford</w:t>
      </w:r>
    </w:p>
    <w:p>
      <w:pPr>
        <w:spacing w:after="0" w:line="6" w:lineRule="exact"/>
        <w:rPr>
          <w:sz w:val="20"/>
          <w:szCs w:val="20"/>
          <w:color w:val="auto"/>
        </w:rPr>
      </w:pPr>
    </w:p>
    <w:p>
      <w:pPr>
        <w:ind w:left="4780"/>
        <w:spacing w:after="0"/>
        <w:rPr>
          <w:sz w:val="20"/>
          <w:szCs w:val="20"/>
          <w:color w:val="auto"/>
        </w:rPr>
      </w:pPr>
      <w:r>
        <w:rPr>
          <w:rFonts w:ascii="Arial" w:cs="Arial" w:eastAsia="Arial" w:hAnsi="Arial"/>
          <w:sz w:val="12"/>
          <w:szCs w:val="12"/>
          <w:color w:val="auto"/>
        </w:rPr>
        <w:t>Chief Financial Officer</w:t>
      </w:r>
    </w:p>
    <w:p>
      <w:pPr>
        <w:sectPr>
          <w:pgSz w:w="11900" w:h="16838" w:orient="portrait"/>
          <w:cols w:equalWidth="0" w:num="1">
            <w:col w:w="9019"/>
          </w:cols>
          <w:pgMar w:left="1440" w:top="244" w:right="1440" w:bottom="1440"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88900</wp:posOffset>
            </wp:positionV>
            <wp:extent cx="7218680" cy="41148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218680" cy="41148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172720</wp:posOffset>
            </wp:positionH>
            <wp:positionV relativeFrom="page">
              <wp:posOffset>88900</wp:posOffset>
            </wp:positionV>
            <wp:extent cx="7231380" cy="42233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31380" cy="422338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2021-09-29T15:47:23Z</dcterms:created>
  <dcterms:modified xsi:type="dcterms:W3CDTF">2021-09-29T15:47:23Z</dcterms:modified>
</cp:coreProperties>
</file>