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02/16/2023</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Borders>
              <w:top w:val="single" w:sz="8" w:color="2C2C2C"/>
            </w:tcBorders>
          </w:tcPr>
          <w:p>
            <w:pPr>
              <w:spacing w:after="0"/>
              <w:rPr>
                <w:sz w:val="18"/>
                <w:szCs w:val="18"/>
                <w:color w:val="auto"/>
              </w:rPr>
            </w:pPr>
          </w:p>
        </w:tc>
        <w:tc>
          <w:tcPr>
            <w:tcW w:w="32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gridSpan w:val="2"/>
          </w:tcPr>
          <w:p>
            <w:pPr>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90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02/16/2023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5.4869</w:t>
            </w:r>
            <w:r>
              <w:rPr>
                <w:rFonts w:ascii="Times New Roman" w:cs="Times New Roman" w:eastAsia="Times New Roman" w:hAnsi="Times New Roman"/>
                <w:sz w:val="22"/>
                <w:szCs w:val="22"/>
                <w:color w:val="008000"/>
                <w:w w:val="95"/>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6,743,404</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02/17/2023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8,468</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jc w:val="center"/>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5.88</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6,751,872</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8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9"/>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South Lake One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26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AVENIDA PRESIDENTE RIESCO</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5711 OFICINA 1603, LAS CONDES,</w:t>
            </w: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60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26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-1185545</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$5.21 to $5.62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$5.72 to $6.00 per share, inclusive. The reporting persons undertake to provide the Issuer, any security holder of the Issuer, or the staff of the Securities and Exchange Commission, upon request, full information regarding the number of shares purchased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800"/>
          </w:cols>
          <w:pgMar w:left="500" w:top="125" w:right="59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60"/>
          </w:cols>
          <w:pgMar w:left="500" w:top="125" w:right="5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2023-02-21T09:39:57Z</dcterms:created>
  <dcterms:modified xsi:type="dcterms:W3CDTF">2023-02-21T09:39:57Z</dcterms:modified>
</cp:coreProperties>
</file>