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8460" w:type="dxa"/>
            <w:vAlign w:val="bottom"/>
            <w:gridSpan w:val="3"/>
            <w:vMerge w:val="continue"/>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OMB</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Number:</w:t>
            </w: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3160" w:type="dxa"/>
            <w:vAlign w:val="bottom"/>
          </w:tcPr>
          <w:p>
            <w:pPr>
              <w:spacing w:after="0"/>
              <w:rPr>
                <w:sz w:val="24"/>
                <w:szCs w:val="24"/>
                <w:color w:val="auto"/>
              </w:rPr>
            </w:pPr>
          </w:p>
        </w:tc>
        <w:tc>
          <w:tcPr>
            <w:tcW w:w="5300" w:type="dxa"/>
            <w:vAlign w:val="bottom"/>
            <w:gridSpan w:val="2"/>
            <w:vMerge w:val="restart"/>
          </w:tcPr>
          <w:p>
            <w:pPr>
              <w:jc w:val="center"/>
              <w:ind w:right="137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burden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1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Previous</w:t>
            </w:r>
          </w:p>
        </w:tc>
        <w:tc>
          <w:tcPr>
            <w:tcW w:w="36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 None</w:t>
            </w: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60" w:type="dxa"/>
            <w:vAlign w:val="bottom"/>
          </w:tcPr>
          <w:p>
            <w:pPr>
              <w:spacing w:after="0"/>
              <w:rPr>
                <w:sz w:val="19"/>
                <w:szCs w:val="19"/>
                <w:color w:val="auto"/>
              </w:rPr>
            </w:pPr>
          </w:p>
        </w:tc>
        <w:tc>
          <w:tcPr>
            <w:tcW w:w="1680" w:type="dxa"/>
            <w:vAlign w:val="bottom"/>
          </w:tcPr>
          <w:p>
            <w:pPr>
              <w:jc w:val="center"/>
              <w:ind w:left="512"/>
              <w:spacing w:after="0" w:line="226" w:lineRule="exact"/>
              <w:rPr>
                <w:sz w:val="20"/>
                <w:szCs w:val="20"/>
                <w:color w:val="auto"/>
              </w:rPr>
            </w:pPr>
            <w:r>
              <w:rPr>
                <w:rFonts w:ascii="Times New Roman" w:cs="Times New Roman" w:eastAsia="Times New Roman" w:hAnsi="Times New Roman"/>
                <w:sz w:val="22"/>
                <w:szCs w:val="22"/>
                <w:b w:val="1"/>
                <w:bCs w:val="1"/>
                <w:color w:val="auto"/>
                <w:w w:val="97"/>
              </w:rPr>
              <w:t>Names</w:t>
            </w:r>
          </w:p>
        </w:tc>
        <w:tc>
          <w:tcPr>
            <w:tcW w:w="3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-803275</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-811530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p>
      <w:pPr>
        <w:ind w:left="4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0001644130</w:t>
        </w:r>
      </w:hyperlink>
    </w:p>
    <w:p>
      <w:pPr>
        <w:spacing w:after="0" w:line="16"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Rani Therapeutics, LLC</w:t>
      </w:r>
    </w:p>
    <w:p>
      <w:pPr>
        <w:spacing w:after="0" w:line="40"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22"/>
          <w:szCs w:val="22"/>
          <w:b w:val="1"/>
          <w:bCs w:val="1"/>
          <w:color w:val="auto"/>
        </w:rPr>
        <w:t>Jurisdiction of</w:t>
      </w:r>
    </w:p>
    <w:p>
      <w:pPr>
        <w:spacing w:after="0" w:line="18"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22"/>
          <w:szCs w:val="22"/>
          <w:b w:val="1"/>
          <w:bCs w:val="1"/>
          <w:color w:val="auto"/>
        </w:rPr>
        <w:t>Incorporation/Organization</w:t>
      </w:r>
    </w:p>
    <w:p>
      <w:pPr>
        <w:spacing w:after="0" w:line="2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CALIFORNIA</w:t>
      </w:r>
    </w:p>
    <w:p>
      <w:pPr>
        <w:spacing w:after="0" w:line="40"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Year of Incorporation/Organization</w:t>
      </w:r>
    </w:p>
    <w:p>
      <w:pPr>
        <w:spacing w:after="0" w:line="8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p>
      <w:pPr>
        <w:spacing w:after="0" w:line="243"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Rani Therapeutics, LLC</w:t>
      </w:r>
    </w:p>
    <w:p>
      <w:pPr>
        <w:spacing w:after="0" w:line="40"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2051 RINGWOOD AVENUE</w:t>
      </w:r>
    </w:p>
    <w:p>
      <w:pPr>
        <w:spacing w:after="0" w:line="40" w:lineRule="exact"/>
        <w:rPr>
          <w:sz w:val="24"/>
          <w:szCs w:val="24"/>
          <w:color w:val="auto"/>
        </w:rPr>
      </w:pPr>
    </w:p>
    <w:p>
      <w:pPr>
        <w:jc w:val="both"/>
        <w:ind w:left="1080"/>
        <w:spacing w:after="0"/>
        <w:tabs>
          <w:tab w:leader="none" w:pos="2700" w:val="left"/>
        </w:tabs>
        <w:rPr>
          <w:sz w:val="20"/>
          <w:szCs w:val="20"/>
          <w:color w:val="auto"/>
        </w:rPr>
      </w:pPr>
      <w:r>
        <w:rPr>
          <w:rFonts w:ascii="Times New Roman" w:cs="Times New Roman" w:eastAsia="Times New Roman" w:hAnsi="Times New Roman"/>
          <w:sz w:val="22"/>
          <w:szCs w:val="22"/>
          <w:b w:val="1"/>
          <w:bCs w:val="1"/>
          <w:color w:val="auto"/>
        </w:rPr>
        <w:t>City</w:t>
      </w:r>
      <w:r>
        <w:rPr>
          <w:sz w:val="20"/>
          <w:szCs w:val="20"/>
          <w:color w:val="auto"/>
        </w:rPr>
        <w:tab/>
      </w:r>
      <w:r>
        <w:rPr>
          <w:rFonts w:ascii="Times New Roman" w:cs="Times New Roman" w:eastAsia="Times New Roman" w:hAnsi="Times New Roman"/>
          <w:sz w:val="22"/>
          <w:szCs w:val="22"/>
          <w:b w:val="1"/>
          <w:bCs w:val="1"/>
          <w:color w:val="auto"/>
        </w:rPr>
        <w:t>State/Province/Country</w:t>
      </w:r>
    </w:p>
    <w:p>
      <w:pPr>
        <w:spacing w:after="0" w:line="48" w:lineRule="exact"/>
        <w:rPr>
          <w:sz w:val="24"/>
          <w:szCs w:val="24"/>
          <w:color w:val="auto"/>
        </w:rPr>
      </w:pPr>
    </w:p>
    <w:p>
      <w:pPr>
        <w:ind w:left="40"/>
        <w:spacing w:after="0"/>
        <w:tabs>
          <w:tab w:leader="none" w:pos="2560" w:val="left"/>
        </w:tabs>
        <w:rPr>
          <w:sz w:val="20"/>
          <w:szCs w:val="20"/>
          <w:color w:val="auto"/>
        </w:rPr>
      </w:pPr>
      <w:r>
        <w:rPr>
          <w:rFonts w:ascii="Times New Roman" w:cs="Times New Roman" w:eastAsia="Times New Roman" w:hAnsi="Times New Roman"/>
          <w:sz w:val="22"/>
          <w:szCs w:val="22"/>
          <w:color w:val="auto"/>
        </w:rPr>
        <w:t>SAN JOSE</w:t>
      </w:r>
      <w:r>
        <w:rPr>
          <w:sz w:val="20"/>
          <w:szCs w:val="20"/>
          <w:color w:val="auto"/>
        </w:rPr>
        <w:tab/>
      </w:r>
      <w:r>
        <w:rPr>
          <w:rFonts w:ascii="Times New Roman" w:cs="Times New Roman" w:eastAsia="Times New Roman" w:hAnsi="Times New Roman"/>
          <w:sz w:val="21"/>
          <w:szCs w:val="21"/>
          <w:color w:val="auto"/>
        </w:rPr>
        <w:t>CALIFORNIA</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 Related Persons</w:t>
      </w:r>
    </w:p>
    <w:p>
      <w:pPr>
        <w:spacing w:after="0" w:line="20" w:lineRule="exact"/>
        <w:rPr>
          <w:sz w:val="24"/>
          <w:szCs w:val="24"/>
          <w:color w:val="auto"/>
        </w:rPr>
      </w:pPr>
      <w:r>
        <w:rPr>
          <w:sz w:val="24"/>
          <w:szCs w:val="24"/>
          <w:color w:val="auto"/>
        </w:rPr>
        <w:br w:type="column"/>
      </w:r>
    </w:p>
    <w:p>
      <w:pPr>
        <w:ind w:left="2740"/>
        <w:spacing w:after="0"/>
        <w:rPr>
          <w:sz w:val="20"/>
          <w:szCs w:val="20"/>
          <w:color w:val="auto"/>
        </w:rPr>
      </w:pPr>
      <w:r>
        <w:rPr>
          <w:rFonts w:ascii="Times New Roman" w:cs="Times New Roman" w:eastAsia="Times New Roman" w:hAnsi="Times New Roman"/>
          <w:sz w:val="22"/>
          <w:szCs w:val="22"/>
          <w:color w:val="auto"/>
        </w:rPr>
        <w:t>Corporation</w:t>
      </w:r>
    </w:p>
    <w:p>
      <w:pPr>
        <w:spacing w:after="0" w:line="4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2"/>
          <w:szCs w:val="22"/>
          <w:color w:val="auto"/>
        </w:rPr>
        <w:t>Limited Partnership</w:t>
      </w:r>
    </w:p>
    <w:p>
      <w:pPr>
        <w:spacing w:after="0" w:line="44" w:lineRule="exact"/>
        <w:rPr>
          <w:sz w:val="24"/>
          <w:szCs w:val="24"/>
          <w:color w:val="auto"/>
        </w:rPr>
      </w:pPr>
    </w:p>
    <w:p>
      <w:pPr>
        <w:ind w:left="2740" w:right="1020" w:hanging="286"/>
        <w:spacing w:after="0" w:line="281" w:lineRule="auto"/>
        <w:tabs>
          <w:tab w:leader="none" w:pos="27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Liability Company General Partnership Business Trust</w:t>
      </w:r>
    </w:p>
    <w:p>
      <w:pPr>
        <w:spacing w:after="0" w:line="2" w:lineRule="exact"/>
        <w:rPr>
          <w:rFonts w:ascii="Times New Roman" w:cs="Times New Roman" w:eastAsia="Times New Roman" w:hAnsi="Times New Roman"/>
          <w:sz w:val="22"/>
          <w:szCs w:val="22"/>
          <w:color w:val="auto"/>
        </w:rPr>
      </w:pPr>
    </w:p>
    <w:p>
      <w:pPr>
        <w:ind w:left="2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Times New Roman" w:cs="Times New Roman" w:eastAsia="Times New Roman" w:hAnsi="Times New Roman"/>
          <w:sz w:val="22"/>
          <w:szCs w:val="22"/>
          <w:b w:val="1"/>
          <w:bCs w:val="1"/>
          <w:color w:val="auto"/>
        </w:rPr>
        <w:t>ZIP/PostalCode</w:t>
      </w:r>
      <w:r>
        <w:rPr>
          <w:sz w:val="20"/>
          <w:szCs w:val="20"/>
          <w:color w:val="auto"/>
        </w:rPr>
        <w:tab/>
      </w:r>
      <w:r>
        <w:rPr>
          <w:rFonts w:ascii="Times New Roman" w:cs="Times New Roman" w:eastAsia="Times New Roman" w:hAnsi="Times New Roman"/>
          <w:sz w:val="22"/>
          <w:szCs w:val="22"/>
          <w:b w:val="1"/>
          <w:bCs w:val="1"/>
          <w:color w:val="auto"/>
        </w:rPr>
        <w:t>Phone Number of Issuer</w:t>
      </w:r>
    </w:p>
    <w:p>
      <w:pPr>
        <w:spacing w:after="0" w:line="48" w:lineRule="exact"/>
        <w:rPr>
          <w:sz w:val="24"/>
          <w:szCs w:val="24"/>
          <w:color w:val="auto"/>
        </w:rPr>
      </w:pPr>
    </w:p>
    <w:p>
      <w:pPr>
        <w:spacing w:after="0"/>
        <w:tabs>
          <w:tab w:leader="none" w:pos="2480" w:val="left"/>
        </w:tabs>
        <w:rPr>
          <w:sz w:val="20"/>
          <w:szCs w:val="20"/>
          <w:color w:val="auto"/>
        </w:rPr>
      </w:pPr>
      <w:r>
        <w:rPr>
          <w:rFonts w:ascii="Times New Roman" w:cs="Times New Roman" w:eastAsia="Times New Roman" w:hAnsi="Times New Roman"/>
          <w:sz w:val="22"/>
          <w:szCs w:val="22"/>
          <w:color w:val="auto"/>
        </w:rPr>
        <w:t>95131</w:t>
      </w:r>
      <w:r>
        <w:rPr>
          <w:sz w:val="20"/>
          <w:szCs w:val="20"/>
          <w:color w:val="auto"/>
        </w:rPr>
        <w:tab/>
      </w:r>
      <w:r>
        <w:rPr>
          <w:rFonts w:ascii="Times New Roman" w:cs="Times New Roman" w:eastAsia="Times New Roman" w:hAnsi="Times New Roman"/>
          <w:sz w:val="22"/>
          <w:szCs w:val="22"/>
          <w:color w:val="auto"/>
        </w:rPr>
        <w:t>408-457-3712</w:t>
      </w:r>
    </w:p>
    <w:p>
      <w:pPr>
        <w:spacing w:after="0" w:line="699" w:lineRule="exact"/>
        <w:rPr>
          <w:sz w:val="24"/>
          <w:szCs w:val="24"/>
          <w:color w:val="auto"/>
        </w:rPr>
      </w:pPr>
    </w:p>
    <w:p>
      <w:pPr>
        <w:sectPr>
          <w:pgSz w:w="11900" w:h="16838" w:orient="portrait"/>
          <w:cols w:equalWidth="0" w:num="2">
            <w:col w:w="4900" w:space="200"/>
            <w:col w:w="6140"/>
          </w:cols>
          <w:pgMar w:left="320" w:top="315" w:right="3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Imran</w:t>
            </w: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Mir</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292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Hashim</w:t>
            </w:r>
          </w:p>
        </w:tc>
        <w:tc>
          <w:tcPr>
            <w:tcW w:w="12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Mir</w:t>
            </w: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280" w:type="dxa"/>
            <w:vAlign w:val="bottom"/>
          </w:tcPr>
          <w:p>
            <w:pPr>
              <w:spacing w:after="0"/>
              <w:rPr>
                <w:sz w:val="24"/>
                <w:szCs w:val="24"/>
                <w:color w:val="auto"/>
              </w:rPr>
            </w:pPr>
          </w:p>
        </w:tc>
        <w:tc>
          <w:tcPr>
            <w:tcW w:w="2240" w:type="dxa"/>
            <w:vAlign w:val="bottom"/>
          </w:tcPr>
          <w:p>
            <w:pPr>
              <w:jc w:val="center"/>
              <w:ind w:right="43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2920" w:type="dxa"/>
            <w:vAlign w:val="bottom"/>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52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35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Farquharson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Andrew</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Nanavaty</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Maulik</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Ausiello</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Dennis</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7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1"/>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3"/>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Sanford</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Svai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2051 Ringwood Avenue</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40" w:type="dxa"/>
            <w:vAlign w:val="bottom"/>
            <w:gridSpan w:val="2"/>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00" w:type="dxa"/>
            <w:vAlign w:val="bottom"/>
          </w:tcPr>
          <w:p>
            <w:pPr>
              <w:jc w:val="center"/>
              <w:ind w:right="75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CALIFORNIA</w:t>
            </w:r>
          </w:p>
        </w:tc>
        <w:tc>
          <w:tcPr>
            <w:tcW w:w="480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95131</w:t>
            </w:r>
          </w:p>
        </w:tc>
      </w:tr>
      <w:tr>
        <w:trPr>
          <w:trHeight w:val="324"/>
        </w:trPr>
        <w:tc>
          <w:tcPr>
            <w:tcW w:w="32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Director</w:t>
            </w:r>
          </w:p>
        </w:tc>
        <w:tc>
          <w:tcPr>
            <w:tcW w:w="22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-5150485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-5158740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-3281680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-3289935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-1412875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-1421130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901" w:orient="portrait"/>
          <w:cols w:equalWidth="0" w:num="1">
            <w:col w:w="11240"/>
          </w:cols>
          <w:pgMar w:left="320" w:top="149" w:right="3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Times New Roman" w:cs="Times New Roman" w:eastAsia="Times New Roman" w:hAnsi="Times New Roman"/>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3"/>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Health Care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Biotechnology</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Health Insurance</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33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1" w:orient="portrait"/>
          <w:cols w:equalWidth="0" w:num="2">
            <w:col w:w="3600" w:space="340"/>
            <w:col w:w="7300"/>
          </w:cols>
          <w:pgMar w:left="320" w:top="149" w:right="339" w:bottom="0" w:gutter="0" w:footer="0" w:header="0"/>
          <w:type w:val="continuous"/>
        </w:sectPr>
      </w:pPr>
    </w:p>
    <w:bookmarkStart w:id="2" w:name="page3"/>
    <w:bookmarkEnd w:id="2"/>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Energy</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Residential</w:t>
            </w:r>
          </w:p>
        </w:tc>
        <w:tc>
          <w:tcPr>
            <w:tcW w:w="318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33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Coal Mining</w:t>
            </w:r>
          </w:p>
        </w:tc>
        <w:tc>
          <w:tcPr>
            <w:tcW w:w="980" w:type="dxa"/>
            <w:vAlign w:val="bottom"/>
          </w:tcPr>
          <w:p>
            <w:pPr>
              <w:spacing w:after="0"/>
              <w:rPr>
                <w:sz w:val="24"/>
                <w:szCs w:val="24"/>
                <w:color w:val="auto"/>
              </w:rPr>
            </w:pPr>
          </w:p>
        </w:tc>
        <w:tc>
          <w:tcPr>
            <w:tcW w:w="22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Other Real Estate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Electric Utilities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Energy Conservation</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Environmental Services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Oil &amp; Gas</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Other Energy</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5. Issuer Size</w:t>
            </w:r>
          </w:p>
        </w:tc>
        <w:tc>
          <w:tcPr>
            <w:tcW w:w="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Revenue Range</w:t>
            </w:r>
          </w:p>
        </w:tc>
        <w:tc>
          <w:tcPr>
            <w:tcW w:w="98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OR</w:t>
            </w:r>
          </w:p>
        </w:tc>
        <w:tc>
          <w:tcPr>
            <w:tcW w:w="2240" w:type="dxa"/>
            <w:vAlign w:val="bottom"/>
          </w:tcPr>
          <w:p>
            <w:pPr>
              <w:spacing w:after="0"/>
              <w:rPr>
                <w:sz w:val="24"/>
                <w:szCs w:val="24"/>
                <w:color w:val="auto"/>
              </w:rPr>
            </w:pPr>
          </w:p>
        </w:tc>
        <w:tc>
          <w:tcPr>
            <w:tcW w:w="318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7"/>
              </w:rPr>
              <w:t>Aggregate Net Asset Value Range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 Revenues</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$1 - $1,000,000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$1 - $5,000,000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$1,000,001 - $5,000,000</w:t>
            </w:r>
          </w:p>
        </w:tc>
        <w:tc>
          <w:tcPr>
            <w:tcW w:w="980" w:type="dxa"/>
            <w:vAlign w:val="bottom"/>
          </w:tcPr>
          <w:p>
            <w:pPr>
              <w:spacing w:after="0"/>
              <w:rPr>
                <w:sz w:val="24"/>
                <w:szCs w:val="24"/>
                <w:color w:val="auto"/>
              </w:rPr>
            </w:pPr>
          </w:p>
        </w:tc>
        <w:tc>
          <w:tcPr>
            <w:tcW w:w="542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$5,000,001 - $25,000,000</w:t>
            </w: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$5,000,001 -</w:t>
            </w:r>
          </w:p>
        </w:tc>
        <w:tc>
          <w:tcPr>
            <w:tcW w:w="980" w:type="dxa"/>
            <w:vAlign w:val="bottom"/>
          </w:tcPr>
          <w:p>
            <w:pPr>
              <w:spacing w:after="0"/>
              <w:rPr>
                <w:sz w:val="22"/>
                <w:szCs w:val="22"/>
                <w:color w:val="auto"/>
              </w:rPr>
            </w:pPr>
          </w:p>
        </w:tc>
        <w:tc>
          <w:tcPr>
            <w:tcW w:w="5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color w:val="auto"/>
              </w:rPr>
              <w:t>$25,000,001 - $50,000,000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$25,000,000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$25,000,001 -</w:t>
            </w:r>
          </w:p>
        </w:tc>
        <w:tc>
          <w:tcPr>
            <w:tcW w:w="980" w:type="dxa"/>
            <w:vAlign w:val="bottom"/>
          </w:tcPr>
          <w:p>
            <w:pPr>
              <w:spacing w:after="0"/>
              <w:rPr>
                <w:sz w:val="22"/>
                <w:szCs w:val="22"/>
                <w:color w:val="auto"/>
              </w:rPr>
            </w:pPr>
          </w:p>
        </w:tc>
        <w:tc>
          <w:tcPr>
            <w:tcW w:w="542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color w:val="auto"/>
              </w:rPr>
              <w:t>$50,000,001 - $100,000,000</w:t>
            </w:r>
          </w:p>
        </w:tc>
        <w:tc>
          <w:tcPr>
            <w:tcW w:w="0" w:type="dxa"/>
            <w:vAlign w:val="bottom"/>
          </w:tcPr>
          <w:p>
            <w:pPr>
              <w:spacing w:after="0"/>
              <w:rPr>
                <w:sz w:val="1"/>
                <w:szCs w:val="1"/>
                <w:color w:val="auto"/>
              </w:rPr>
            </w:pPr>
          </w:p>
        </w:tc>
      </w:tr>
      <w:tr>
        <w:trPr>
          <w:trHeight w:val="161"/>
        </w:trPr>
        <w:tc>
          <w:tcPr>
            <w:tcW w:w="28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$100,000,000</w:t>
            </w:r>
          </w:p>
        </w:tc>
        <w:tc>
          <w:tcPr>
            <w:tcW w:w="98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Over $100,000,000</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Over $100,000,000</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 Decline to Disclose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Decline to Disclose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 Applicable</w:t>
            </w:r>
          </w:p>
        </w:tc>
        <w:tc>
          <w:tcPr>
            <w:tcW w:w="980" w:type="dxa"/>
            <w:vAlign w:val="bottom"/>
          </w:tcPr>
          <w:p>
            <w:pPr>
              <w:spacing w:after="0"/>
              <w:rPr>
                <w:sz w:val="24"/>
                <w:szCs w:val="24"/>
                <w:color w:val="auto"/>
              </w:rPr>
            </w:pPr>
          </w:p>
        </w:tc>
        <w:tc>
          <w:tcPr>
            <w:tcW w:w="224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Not Applicable</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930" w:orient="portrait"/>
          <w:cols w:equalWidth="0" w:num="1">
            <w:col w:w="10139"/>
          </w:cols>
          <w:pgMar w:left="320" w:top="111"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930" w:orient="portrait"/>
          <w:cols w:equalWidth="0" w:num="2">
            <w:col w:w="3860" w:space="720"/>
            <w:col w:w="5559"/>
          </w:cols>
          <w:pgMar w:left="320" w:top="111" w:right="1440" w:bottom="0" w:gutter="0" w:footer="0" w:header="0"/>
          <w:type w:val="continuous"/>
        </w:sectPr>
      </w:pPr>
    </w:p>
    <w:p>
      <w:pPr>
        <w:spacing w:after="0" w:line="47"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X New Notice  Date of First Sale 2020-10-30</w:t>
      </w:r>
      <w:r>
        <w:rPr>
          <w:sz w:val="20"/>
          <w:szCs w:val="20"/>
          <w:color w:val="auto"/>
        </w:rPr>
        <w:tab/>
      </w:r>
      <w:r>
        <w:rPr>
          <w:rFonts w:ascii="Times New Roman" w:cs="Times New Roman" w:eastAsia="Times New Roman" w:hAnsi="Times New Roman"/>
          <w:sz w:val="21"/>
          <w:szCs w:val="21"/>
          <w:color w:val="auto"/>
        </w:rPr>
        <w:t>First Sale Yet to Occur</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Amendment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Equity</w:t>
      </w:r>
      <w:r>
        <w:rPr>
          <w:sz w:val="20"/>
          <w:szCs w:val="20"/>
          <w:color w:val="auto"/>
        </w:rPr>
        <w:tab/>
      </w:r>
      <w:r>
        <w:rPr>
          <w:rFonts w:ascii="Times New Roman" w:cs="Times New Roman" w:eastAsia="Times New Roman" w:hAnsi="Times New Roman"/>
          <w:sz w:val="21"/>
          <w:szCs w:val="21"/>
          <w:color w:val="auto"/>
        </w:rPr>
        <w:t>Pooled Investment Fund Interests</w:t>
      </w:r>
    </w:p>
    <w:p>
      <w:pPr>
        <w:spacing w:after="0" w:line="44" w:lineRule="exact"/>
        <w:rPr>
          <w:sz w:val="20"/>
          <w:szCs w:val="20"/>
          <w:color w:val="auto"/>
        </w:rPr>
      </w:pPr>
    </w:p>
    <w:p>
      <w:pPr>
        <w:ind w:left="260"/>
        <w:spacing w:after="0"/>
        <w:tabs>
          <w:tab w:leader="none" w:pos="5800" w:val="left"/>
        </w:tabs>
        <w:rPr>
          <w:sz w:val="20"/>
          <w:szCs w:val="20"/>
          <w:color w:val="auto"/>
        </w:rPr>
      </w:pPr>
      <w:r>
        <w:rPr>
          <w:rFonts w:ascii="Times New Roman" w:cs="Times New Roman" w:eastAsia="Times New Roman" w:hAnsi="Times New Roman"/>
          <w:sz w:val="22"/>
          <w:szCs w:val="22"/>
          <w:color w:val="auto"/>
        </w:rPr>
        <w:t>Debt</w:t>
      </w:r>
      <w:r>
        <w:rPr>
          <w:sz w:val="20"/>
          <w:szCs w:val="20"/>
          <w:color w:val="auto"/>
        </w:rPr>
        <w:tab/>
      </w:r>
      <w:r>
        <w:rPr>
          <w:rFonts w:ascii="Times New Roman" w:cs="Times New Roman" w:eastAsia="Times New Roman" w:hAnsi="Times New Roman"/>
          <w:sz w:val="22"/>
          <w:szCs w:val="22"/>
          <w:color w:val="auto"/>
        </w:rPr>
        <w:t>Tenant-in-Common Securities</w:t>
      </w:r>
    </w:p>
    <w:p>
      <w:pPr>
        <w:spacing w:after="0" w:line="44"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X Option, Warrant or Other Right to Acquire Another Security</w:t>
      </w:r>
      <w:r>
        <w:rPr>
          <w:sz w:val="20"/>
          <w:szCs w:val="20"/>
          <w:color w:val="auto"/>
        </w:rPr>
        <w:tab/>
      </w:r>
      <w:r>
        <w:rPr>
          <w:rFonts w:ascii="Times New Roman" w:cs="Times New Roman" w:eastAsia="Times New Roman" w:hAnsi="Times New Roman"/>
          <w:sz w:val="21"/>
          <w:szCs w:val="21"/>
          <w:color w:val="auto"/>
        </w:rPr>
        <w:t>Mineral Property Securities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57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21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3"/>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57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21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7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30" w:orient="portrait"/>
          <w:cols w:equalWidth="0" w:num="1">
            <w:col w:w="10139"/>
          </w:cols>
          <w:pgMar w:left="32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Minimum investment accepted from any outside investor $1 USD</w:t>
      </w:r>
    </w:p>
    <w:p>
      <w:pPr>
        <w:sectPr>
          <w:pgSz w:w="11900" w:h="16838" w:orient="portrait"/>
          <w:cols w:equalWidth="0" w:num="1">
            <w:col w:w="11220"/>
          </w:cols>
          <w:pgMar w:left="320" w:top="112" w:right="359" w:bottom="160" w:gutter="0" w:footer="0" w:header="0"/>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20"/>
          </w:cols>
          <w:pgMar w:left="320" w:top="112" w:right="359" w:bottom="16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7"/>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8"/>
              </w:rPr>
              <w:t>Total Remaining to be Sold $25,000,000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-324485</wp:posOffset>
            </wp:positionV>
            <wp:extent cx="8572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-321945</wp:posOffset>
            </wp:positionV>
            <wp:extent cx="8255" cy="231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-330835</wp:posOffset>
            </wp:positionV>
            <wp:extent cx="8255"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8255"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-305435</wp:posOffset>
            </wp:positionV>
            <wp:extent cx="889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914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91440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2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ectPr>
          <w:pgSz w:w="11900" w:h="16838" w:orient="portrait"/>
          <w:cols w:equalWidth="0" w:num="1">
            <w:col w:w="11220"/>
          </w:cols>
          <w:pgMar w:left="320" w:top="112" w:right="359" w:bottom="160" w:gutter="0" w:footer="0" w:header="0"/>
          <w:type w:val="continuous"/>
        </w:sectPr>
      </w:pPr>
    </w:p>
    <w:bookmarkStart w:id="4" w:name="page5"/>
    <w:bookmarkEnd w:id="4"/>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-1553210</wp:posOffset>
            </wp:positionV>
            <wp:extent cx="7132320" cy="2151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151380"/>
                    </a:xfrm>
                    <a:prstGeom prst="rect">
                      <a:avLst/>
                    </a:prstGeom>
                    <a:noFill/>
                  </pic:spPr>
                </pic:pic>
              </a:graphicData>
            </a:graphic>
          </wp:anchor>
        </w:drawing>
      </w:r>
    </w:p>
    <w:p>
      <w:pPr>
        <w:spacing w:after="0" w:line="15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3520" w:type="dxa"/>
            <w:vAlign w:val="bottom"/>
            <w:tcBorders>
              <w:top w:val="single" w:sz="8" w:color="2C2C2C"/>
              <w:bottom w:val="single" w:sz="8" w:color="808080"/>
            </w:tcBorders>
          </w:tcPr>
          <w:p>
            <w:pPr>
              <w:ind w:left="148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1980" w:type="dxa"/>
            <w:vAlign w:val="bottom"/>
            <w:tcBorders>
              <w:top w:val="single" w:sz="8" w:color="2C2C2C"/>
              <w:bottom w:val="single" w:sz="8" w:color="808080"/>
            </w:tcBorders>
          </w:tcPr>
          <w:p>
            <w:pPr>
              <w:ind w:left="54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2420" w:type="dxa"/>
            <w:vAlign w:val="bottom"/>
            <w:tcBorders>
              <w:top w:val="single" w:sz="8" w:color="2C2C2C"/>
              <w:bottom w:val="single" w:sz="8" w:color="808080"/>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1420" w:type="dxa"/>
            <w:vAlign w:val="bottom"/>
            <w:tcBorders>
              <w:top w:val="single" w:sz="8" w:color="2C2C2C"/>
              <w:bottom w:val="single" w:sz="8" w:color="808080"/>
            </w:tcBorders>
          </w:tcPr>
          <w:p>
            <w:pPr>
              <w:ind w:left="50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jc w:val="right"/>
              <w:ind w:right="55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35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Rani Therapeutics, LLC</w:t>
            </w:r>
          </w:p>
        </w:tc>
        <w:tc>
          <w:tcPr>
            <w:tcW w:w="20" w:type="dxa"/>
            <w:vAlign w:val="bottom"/>
          </w:tcPr>
          <w:p>
            <w:pPr>
              <w:spacing w:after="0"/>
              <w:rPr>
                <w:sz w:val="22"/>
                <w:szCs w:val="22"/>
                <w:color w:val="auto"/>
              </w:rPr>
            </w:pPr>
          </w:p>
        </w:tc>
        <w:tc>
          <w:tcPr>
            <w:tcW w:w="198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Mir Imran</w:t>
            </w:r>
          </w:p>
        </w:tc>
        <w:tc>
          <w:tcPr>
            <w:tcW w:w="20" w:type="dxa"/>
            <w:vAlign w:val="bottom"/>
          </w:tcPr>
          <w:p>
            <w:pPr>
              <w:spacing w:after="0"/>
              <w:rPr>
                <w:sz w:val="22"/>
                <w:szCs w:val="22"/>
                <w:color w:val="auto"/>
              </w:rPr>
            </w:pPr>
          </w:p>
        </w:tc>
        <w:tc>
          <w:tcPr>
            <w:tcW w:w="24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Mir Imran</w:t>
            </w:r>
          </w:p>
        </w:tc>
        <w:tc>
          <w:tcPr>
            <w:tcW w:w="20" w:type="dxa"/>
            <w:vAlign w:val="bottom"/>
          </w:tcPr>
          <w:p>
            <w:pPr>
              <w:spacing w:after="0"/>
              <w:rPr>
                <w:sz w:val="22"/>
                <w:szCs w:val="22"/>
                <w:color w:val="auto"/>
              </w:rPr>
            </w:pPr>
          </w:p>
        </w:tc>
        <w:tc>
          <w:tcPr>
            <w:tcW w:w="142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President</w:t>
            </w:r>
          </w:p>
        </w:tc>
        <w:tc>
          <w:tcPr>
            <w:tcW w:w="20" w:type="dxa"/>
            <w:vAlign w:val="bottom"/>
            <w:vMerge w:val="continue"/>
          </w:tcPr>
          <w:p>
            <w:pPr>
              <w:spacing w:after="0"/>
              <w:rPr>
                <w:sz w:val="22"/>
                <w:szCs w:val="22"/>
                <w:color w:val="auto"/>
              </w:rPr>
            </w:pPr>
          </w:p>
        </w:tc>
        <w:tc>
          <w:tcPr>
            <w:tcW w:w="1740" w:type="dxa"/>
            <w:vAlign w:val="bottom"/>
            <w:tcBorders>
              <w:bottom w:val="single" w:sz="8" w:color="808080"/>
            </w:tcBorders>
          </w:tcPr>
          <w:p>
            <w:pPr>
              <w:jc w:val="right"/>
              <w:ind w:right="612"/>
              <w:spacing w:after="0"/>
              <w:rPr>
                <w:sz w:val="20"/>
                <w:szCs w:val="20"/>
                <w:color w:val="auto"/>
              </w:rPr>
            </w:pPr>
            <w:r>
              <w:rPr>
                <w:rFonts w:ascii="Times New Roman" w:cs="Times New Roman" w:eastAsia="Times New Roman" w:hAnsi="Times New Roman"/>
                <w:sz w:val="22"/>
                <w:szCs w:val="22"/>
                <w:color w:val="auto"/>
                <w:w w:val="97"/>
              </w:rPr>
              <w:t>2020-11-13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6441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2020-11-16T11:25:17Z</dcterms:created>
  <dcterms:modified xsi:type="dcterms:W3CDTF">2020-11-16T11:25:17Z</dcterms:modified>
</cp:coreProperties>
</file>