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586740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600075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2320" w:right="759" w:hanging="1672"/>
        <w:spacing w:after="0" w:line="384" w:lineRule="auto"/>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 to ________________</w:t>
      </w: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RANI THERAPEUTICS HOLDINGS,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7" w:lineRule="exact"/>
        <w:rPr>
          <w:sz w:val="24"/>
          <w:szCs w:val="24"/>
          <w:color w:val="auto"/>
        </w:rPr>
      </w:pPr>
    </w:p>
    <w:tbl>
      <w:tblPr>
        <w:tblLayout w:type="fixed"/>
        <w:tblInd w:w="228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86-3114789</w:t>
            </w:r>
          </w:p>
        </w:tc>
      </w:tr>
    </w:tbl>
    <w:p>
      <w:pPr>
        <w:spacing w:after="0" w:line="1" w:lineRule="exact"/>
        <w:rPr>
          <w:sz w:val="24"/>
          <w:szCs w:val="24"/>
          <w:color w:val="auto"/>
        </w:rPr>
      </w:pPr>
    </w:p>
    <w:p>
      <w:pPr>
        <w:sectPr>
          <w:pgSz w:w="11900" w:h="16838" w:orient="portrait"/>
          <w:cols w:equalWidth="0" w:num="1">
            <w:col w:w="9019"/>
          </w:cols>
          <w:pgMar w:left="1440" w:top="1046" w:right="1440" w:bottom="1440" w:gutter="0" w:footer="0" w:header="0"/>
        </w:sectPr>
      </w:pPr>
    </w:p>
    <w:p>
      <w:pPr>
        <w:ind w:left="1940"/>
        <w:spacing w:after="0" w:line="224" w:lineRule="auto"/>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2051 Ringwood Avenue</w:t>
      </w:r>
    </w:p>
    <w:p>
      <w:pPr>
        <w:spacing w:after="0" w:line="1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95131</w:t>
      </w:r>
    </w:p>
    <w:p>
      <w:pPr>
        <w:spacing w:after="0" w:line="24" w:lineRule="exact"/>
        <w:rPr>
          <w:sz w:val="24"/>
          <w:szCs w:val="24"/>
          <w:color w:val="auto"/>
        </w:rPr>
      </w:pPr>
    </w:p>
    <w:p>
      <w:pPr>
        <w:sectPr>
          <w:pgSz w:w="11900" w:h="16838" w:orient="portrait"/>
          <w:cols w:equalWidth="0" w:num="2">
            <w:col w:w="5320" w:space="720"/>
            <w:col w:w="2979"/>
          </w:cols>
          <w:pgMar w:left="1440" w:top="1046"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4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8"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92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RANI</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both"/>
        <w:ind w:left="640" w:right="73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jc w:val="both"/>
        <w:ind w:left="640" w:right="75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ind w:left="640" w:right="919" w:firstLine="412"/>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39" w:lineRule="exact"/>
        <w:rPr>
          <w:sz w:val="24"/>
          <w:szCs w:val="24"/>
          <w:color w:val="auto"/>
        </w:rPr>
      </w:pPr>
    </w:p>
    <w:p>
      <w:pPr>
        <w:ind w:left="640" w:right="759"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060"/>
        <w:spacing w:after="0" w:line="150" w:lineRule="exact"/>
        <w:tabs>
          <w:tab w:leader="none" w:pos="704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93" w:lineRule="exact"/>
        <w:rPr>
          <w:sz w:val="24"/>
          <w:szCs w:val="24"/>
          <w:color w:val="auto"/>
        </w:rPr>
      </w:pPr>
    </w:p>
    <w:p>
      <w:pPr>
        <w:ind w:left="640" w:right="779" w:firstLine="412"/>
        <w:spacing w:after="0" w:line="296" w:lineRule="auto"/>
        <w:rPr>
          <w:sz w:val="20"/>
          <w:szCs w:val="20"/>
          <w:color w:val="auto"/>
        </w:rPr>
      </w:pPr>
      <w:r>
        <w:rPr>
          <w:rFonts w:ascii="Times New Roman" w:cs="Times New Roman" w:eastAsia="Times New Roman" w:hAnsi="Times New Roman"/>
          <w:sz w:val="12"/>
          <w:szCs w:val="12"/>
          <w:color w:val="auto"/>
        </w:rPr>
        <w:t>As of August 4, 2025, the registrant had 47,898,228 shares of Class A common stock, $0.0001 par value per share, outstanding, 23,970,359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1,124,194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680085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72390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85725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046" w:right="1440" w:bottom="1440" w:gutter="0" w:footer="0" w:header="0"/>
          <w:type w:val="continuous"/>
        </w:sectPr>
      </w:pPr>
    </w:p>
    <w:bookmarkStart w:id="1" w:name="page2"/>
    <w:bookmarkEnd w:id="1"/>
    <w:tbl>
      <w:tblPr>
        <w:tblLayout w:type="fixed"/>
        <w:tblInd w:w="12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7720" w:type="dxa"/>
            <w:vAlign w:val="bottom"/>
            <w:gridSpan w:val="18"/>
            <w:vMerge w:val="restart"/>
          </w:tcPr>
          <w:p>
            <w:pPr>
              <w:ind w:left="520"/>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7720" w:type="dxa"/>
            <w:vAlign w:val="bottom"/>
            <w:gridSpan w:val="18"/>
            <w:vMerge w:val="continue"/>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106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Comprehensive Loss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Changes in Stockholders’ (Deficit)/Equity</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300" w:type="dxa"/>
            <w:vAlign w:val="bottom"/>
            <w:gridSpan w:val="3"/>
            <w:vMerge w:val="continue"/>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527"/>
        </w:trPr>
        <w:tc>
          <w:tcPr>
            <w:tcW w:w="5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11"/>
          </w:tcPr>
          <w:p>
            <w:pPr>
              <w:ind w:left="3040"/>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ind w:left="1060" w:right="839" w:hanging="281"/>
        <w:spacing w:after="0" w:line="295" w:lineRule="auto"/>
        <w:rPr>
          <w:sz w:val="20"/>
          <w:szCs w:val="20"/>
          <w:color w:val="auto"/>
        </w:rPr>
      </w:pPr>
      <w:r>
        <w:rPr>
          <w:rFonts w:ascii="Times New Roman" w:cs="Times New Roman" w:eastAsia="Times New Roman" w:hAnsi="Times New Roman"/>
          <w:sz w:val="14"/>
          <w:szCs w:val="14"/>
          <w:i w:val="1"/>
          <w:iCs w:val="1"/>
          <w:color w:val="auto"/>
        </w:rPr>
        <w:t>Unless otherwise stated or the context otherwise requires, the terms “we,” “us,” and “our,” and similar references refer to Rani Therapeutics Holdings, Inc. (“Rani Holdings”) and its consolidated subsidiary, Rani Therapeutics, LLC (“Rani LLC”).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779" w:firstLine="701"/>
        <w:spacing w:after="0" w:line="260" w:lineRule="auto"/>
        <w:rPr>
          <w:sz w:val="20"/>
          <w:szCs w:val="20"/>
          <w:color w:val="auto"/>
        </w:rPr>
      </w:pPr>
      <w:r>
        <w:rPr>
          <w:rFonts w:ascii="Times New Roman" w:cs="Times New Roman" w:eastAsia="Times New Roman" w:hAnsi="Times New Roman"/>
          <w:sz w:val="14"/>
          <w:szCs w:val="14"/>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9"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54" w:lineRule="exact"/>
        <w:rPr>
          <w:sz w:val="20"/>
          <w:szCs w:val="20"/>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to fund our existing operations and continue as a going concern;</w:t>
      </w:r>
    </w:p>
    <w:p>
      <w:pPr>
        <w:spacing w:after="0" w:line="96" w:lineRule="exact"/>
        <w:rPr>
          <w:rFonts w:ascii="Times New Roman" w:cs="Times New Roman" w:eastAsia="Times New Roman" w:hAnsi="Times New Roman"/>
          <w:sz w:val="14"/>
          <w:szCs w:val="14"/>
          <w:color w:val="auto"/>
        </w:rPr>
      </w:pPr>
    </w:p>
    <w:p>
      <w:pPr>
        <w:ind w:left="1680" w:right="93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improve our liquidity and financial position in response to the substantial doubt about our ability to continue as a going concern;</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Class A common stock on the Nasdaq Global Market;</w:t>
      </w:r>
    </w:p>
    <w:p>
      <w:pPr>
        <w:spacing w:after="0" w:line="96" w:lineRule="exact"/>
        <w:rPr>
          <w:rFonts w:ascii="Times New Roman" w:cs="Times New Roman" w:eastAsia="Times New Roman" w:hAnsi="Times New Roman"/>
          <w:sz w:val="14"/>
          <w:szCs w:val="14"/>
          <w:color w:val="auto"/>
        </w:rPr>
      </w:pPr>
    </w:p>
    <w:p>
      <w:pPr>
        <w:ind w:left="1680" w:right="7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focus of our current and future clinical trials in the United States and abroad, and the reporting of data from those trials;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and therapeutic effects of our product candidates;</w:t>
      </w:r>
    </w:p>
    <w:p>
      <w:pPr>
        <w:spacing w:after="0" w:line="96" w:lineRule="exact"/>
        <w:rPr>
          <w:rFonts w:ascii="Times New Roman" w:cs="Times New Roman" w:eastAsia="Times New Roman" w:hAnsi="Times New Roman"/>
          <w:sz w:val="14"/>
          <w:szCs w:val="14"/>
          <w:color w:val="auto"/>
        </w:rPr>
      </w:pPr>
    </w:p>
    <w:p>
      <w:pPr>
        <w:ind w:left="1680" w:right="8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product candidates for clinical trials and for commercial use, if approved;</w:t>
      </w:r>
    </w:p>
    <w:p>
      <w:pPr>
        <w:spacing w:after="0" w:line="37" w:lineRule="exact"/>
        <w:rPr>
          <w:rFonts w:ascii="Times New Roman" w:cs="Times New Roman" w:eastAsia="Times New Roman" w:hAnsi="Times New Roman"/>
          <w:sz w:val="14"/>
          <w:szCs w:val="14"/>
          <w:color w:val="auto"/>
        </w:rPr>
      </w:pPr>
    </w:p>
    <w:p>
      <w:pPr>
        <w:ind w:left="1680" w:right="719" w:hanging="341"/>
        <w:spacing w:after="0" w:line="268"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54"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develop and expand our platform technology;</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technology platform to generate and advance additional product candidates;</w:t>
      </w:r>
    </w:p>
    <w:p>
      <w:pPr>
        <w:spacing w:after="0" w:line="96" w:lineRule="exact"/>
        <w:rPr>
          <w:rFonts w:ascii="Times New Roman" w:cs="Times New Roman" w:eastAsia="Times New Roman" w:hAnsi="Times New Roman"/>
          <w:sz w:val="14"/>
          <w:szCs w:val="14"/>
          <w:color w:val="auto"/>
        </w:rPr>
      </w:pPr>
    </w:p>
    <w:p>
      <w:pPr>
        <w:ind w:left="1680" w:right="93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product candidates, if approved;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selectively enter into strategic partnership and the expected potential benefits thereof;</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and product candidates;</w:t>
      </w:r>
    </w:p>
    <w:p>
      <w:pPr>
        <w:spacing w:after="0" w:line="96" w:lineRule="exact"/>
        <w:rPr>
          <w:rFonts w:ascii="Times New Roman" w:cs="Times New Roman" w:eastAsia="Times New Roman" w:hAnsi="Times New Roman"/>
          <w:sz w:val="14"/>
          <w:szCs w:val="14"/>
          <w:color w:val="auto"/>
        </w:rPr>
      </w:pPr>
    </w:p>
    <w:p>
      <w:pPr>
        <w:ind w:left="1680" w:right="10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scale and optimize our manufacturing processes, including by expanding our use of automation;</w:t>
      </w:r>
    </w:p>
    <w:p>
      <w:pPr>
        <w:spacing w:after="0" w:line="37" w:lineRule="exact"/>
        <w:rPr>
          <w:rFonts w:ascii="Times New Roman" w:cs="Times New Roman" w:eastAsia="Times New Roman" w:hAnsi="Times New Roman"/>
          <w:sz w:val="14"/>
          <w:szCs w:val="14"/>
          <w:color w:val="auto"/>
        </w:rPr>
      </w:pPr>
    </w:p>
    <w:p>
      <w:pPr>
        <w:ind w:left="1680" w:right="107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in the United States who suffer from the indications we target and the number of patients that will enroll in our clinical trials;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 opportunity for our product candidates in each of the indications we target;</w:t>
      </w:r>
    </w:p>
    <w:p>
      <w:pPr>
        <w:spacing w:after="0" w:line="96" w:lineRule="exact"/>
        <w:rPr>
          <w:rFonts w:ascii="Times New Roman" w:cs="Times New Roman" w:eastAsia="Times New Roman" w:hAnsi="Times New Roman"/>
          <w:sz w:val="14"/>
          <w:szCs w:val="14"/>
          <w:color w:val="auto"/>
        </w:rPr>
      </w:pPr>
    </w:p>
    <w:p>
      <w:pPr>
        <w:ind w:left="1680" w:right="105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innovate and expand our intellectual property by developing new applications of the RaniPill capsule;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1680" w:right="83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 including extensions of existing patent terms where available;</w:t>
      </w:r>
    </w:p>
    <w:p>
      <w:pPr>
        <w:spacing w:after="0" w:line="37" w:lineRule="exact"/>
        <w:rPr>
          <w:rFonts w:ascii="Times New Roman" w:cs="Times New Roman" w:eastAsia="Times New Roman" w:hAnsi="Times New Roman"/>
          <w:sz w:val="14"/>
          <w:szCs w:val="14"/>
          <w:color w:val="auto"/>
        </w:rPr>
      </w:pPr>
    </w:p>
    <w:p>
      <w:pPr>
        <w:ind w:left="1680" w:right="127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including our technology platform and product candidates;</w:t>
      </w:r>
    </w:p>
    <w:p>
      <w:pPr>
        <w:spacing w:after="0" w:line="37" w:lineRule="exact"/>
        <w:rPr>
          <w:rFonts w:ascii="Times New Roman" w:cs="Times New Roman" w:eastAsia="Times New Roman" w:hAnsi="Times New Roman"/>
          <w:sz w:val="14"/>
          <w:szCs w:val="14"/>
          <w:color w:val="auto"/>
        </w:rPr>
      </w:pPr>
    </w:p>
    <w:p>
      <w:pPr>
        <w:ind w:left="1680" w:right="125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propose to implement;</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96" w:lineRule="exact"/>
        <w:rPr>
          <w:rFonts w:ascii="Times New Roman" w:cs="Times New Roman" w:eastAsia="Times New Roman" w:hAnsi="Times New Roman"/>
          <w:sz w:val="14"/>
          <w:szCs w:val="14"/>
          <w:color w:val="auto"/>
        </w:rPr>
      </w:pPr>
    </w:p>
    <w:p>
      <w:pPr>
        <w:ind w:left="1680" w:right="839" w:hanging="341"/>
        <w:spacing w:after="0" w:line="274"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50" w:lineRule="exact"/>
        <w:rPr>
          <w:rFonts w:ascii="Times New Roman" w:cs="Times New Roman" w:eastAsia="Times New Roman" w:hAnsi="Times New Roman"/>
          <w:sz w:val="14"/>
          <w:szCs w:val="14"/>
          <w:color w:val="auto"/>
        </w:rPr>
      </w:pPr>
    </w:p>
    <w:p>
      <w:pPr>
        <w:ind w:left="1680" w:right="101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Jumpstart Our Business Startups Act of 2012 (the “JOBS Act”).</w:t>
      </w:r>
    </w:p>
    <w:p>
      <w:pPr>
        <w:spacing w:after="0" w:line="124"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described in the section titled “Risk Factors” and elsewhere in our Annual Report on Form 10-K filed with the Securities and Exchange Commission on March 31, 2025.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44" w:lineRule="exact"/>
        <w:rPr>
          <w:sz w:val="20"/>
          <w:szCs w:val="20"/>
          <w:color w:val="auto"/>
        </w:rPr>
      </w:pPr>
    </w:p>
    <w:p>
      <w:pPr>
        <w:ind w:left="640" w:right="859" w:firstLine="701"/>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center"/>
              <w:ind w:right="7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center"/>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23,877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29,744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36,634</w:t>
            </w:r>
          </w:p>
        </w:tc>
        <w:tc>
          <w:tcPr>
            <w:tcW w:w="80" w:type="dxa"/>
            <w:vAlign w:val="bottom"/>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26,051</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33,141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 $0.0001 par value - 20,000 shares authorized; none issued and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as of June 30, 2025 and December 31, 2024</w:t>
            </w:r>
          </w:p>
        </w:tc>
        <w:tc>
          <w:tcPr>
            <w:tcW w:w="1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Class A common stock, $0.0001 par value - 800,000 shares authorized; 39,237 and</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33,430 issued and outstanding as of June 30, 2025 and December 31, 2024, respectively</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Class B common stock, $0.0001 par value - 40,000 shares authorized; 23,970 and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23,972 issued and outstanding as of June 30, 2025 and December 31, 2024, respectively</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Class C common stock, $0.0001 par value - 20,000 shares authorized; none issued and</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June 30, 2025 and December 31, 2024</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104,889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gain</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(116,863)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(102,907)</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stockholders' (deficit)/equity attributable to Rani Therapeutics Holdings, Inc.</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(5,575)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stockholders' (deficit)/equity</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(9,153)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36,634</w:t>
            </w:r>
          </w:p>
        </w:tc>
        <w:tc>
          <w:tcPr>
            <w:tcW w:w="8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-3027045</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-3013710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-3027045</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-3013710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-2352040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-2352040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-1901825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-1901825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40" w:type="dxa"/>
            <w:vAlign w:val="bottom"/>
          </w:tcPr>
          <w:p>
            <w:pPr>
              <w:spacing w:after="0"/>
              <w:rPr>
                <w:sz w:val="11"/>
                <w:szCs w:val="11"/>
                <w:color w:val="auto"/>
              </w:rPr>
            </w:pPr>
          </w:p>
        </w:tc>
        <w:tc>
          <w:tcPr>
            <w:tcW w:w="16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12,075</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10,615</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22,690</w:t>
            </w: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(10,505)</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(12,524)</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(22,518)</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(26,557)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(877)</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(1,276)</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(1,819)</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(11,224)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(23,962)</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(28,140)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(4,532)</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(6,556)</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(10,006)</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(13,852)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(6,692)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(13,956)</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4"/>
                <w:szCs w:val="14"/>
                <w:color w:val="auto"/>
              </w:rPr>
              <w:t>Net loss per Class A common share attributable to Rani</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(0.18)</w:t>
            </w: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(0.26)</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(0.40)</w:t>
            </w:r>
          </w:p>
        </w:tc>
        <w:tc>
          <w:tcPr>
            <w:tcW w:w="1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20" w:type="dxa"/>
            <w:vAlign w:val="bottom"/>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rPr>
              <w:t>Therapeutics Holdings, Inc., basic and diluted</w:t>
            </w:r>
          </w:p>
        </w:tc>
        <w:tc>
          <w:tcPr>
            <w:tcW w:w="120" w:type="dxa"/>
            <w:vAlign w:val="bottom"/>
            <w:vMerge w:val="continue"/>
            <w:shd w:val="clear" w:color="auto" w:fill="CFF0FC"/>
          </w:tcPr>
          <w:p>
            <w:pPr>
              <w:spacing w:after="0"/>
              <w:rPr>
                <w:sz w:val="16"/>
                <w:szCs w:val="16"/>
                <w:color w:val="auto"/>
              </w:rPr>
            </w:pPr>
          </w:p>
        </w:tc>
        <w:tc>
          <w:tcPr>
            <w:tcW w:w="880" w:type="dxa"/>
            <w:vAlign w:val="bottom"/>
            <w:tcBorders>
              <w:right w:val="single" w:sz="8" w:color="CFF0FC"/>
            </w:tcBorders>
            <w:gridSpan w:val="2"/>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Weighted-average Class A common shares outstanding—basic</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36,542</w:t>
            </w:r>
          </w:p>
        </w:tc>
        <w:tc>
          <w:tcPr>
            <w:tcW w:w="16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34,999</w:t>
            </w:r>
          </w:p>
        </w:tc>
        <w:tc>
          <w:tcPr>
            <w:tcW w:w="1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26,179</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and diluted</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-1369060</wp:posOffset>
            </wp:positionV>
            <wp:extent cx="73025" cy="147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-1369060</wp:posOffset>
            </wp:positionV>
            <wp:extent cx="73025" cy="147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-1369060</wp:posOffset>
            </wp:positionV>
            <wp:extent cx="73025" cy="147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-1369060</wp:posOffset>
            </wp:positionV>
            <wp:extent cx="73025" cy="14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-796925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-796925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-796925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-796925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-572135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-572135</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-572135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-572135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-238125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-224155</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-238125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-224155</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-238125</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-224155</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-238125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-224155</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40" w:type="dxa"/>
            <w:vAlign w:val="bottom"/>
          </w:tcPr>
          <w:p>
            <w:pPr>
              <w:spacing w:after="0"/>
              <w:rPr>
                <w:sz w:val="11"/>
                <w:szCs w:val="11"/>
                <w:color w:val="auto"/>
              </w:rPr>
            </w:pPr>
          </w:p>
        </w:tc>
        <w:tc>
          <w:tcPr>
            <w:tcW w:w="16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3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1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(11,224)</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(13,361)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(23,962)</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(28,140)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unrealized (loss) gain on marketable securities</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(11,223)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(13,349)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(23,967)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(4,244)</w:t>
            </w: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(6,550)</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(12,311)</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(13,845)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Comprehensive loss attributable to Rani Therapeutics Holdings,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(6,979)</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(6,799)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(11,656)</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(14,282)</w:t>
            </w: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Inc.</w:t>
            </w:r>
          </w:p>
        </w:tc>
        <w:tc>
          <w:tcPr>
            <w:tcW w:w="1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-469900</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-469900</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-469900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-469900</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-224155</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-224155</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-224155</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-224155</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(DEFICIT)/EQUITY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580" w:type="dxa"/>
            <w:vAlign w:val="bottom"/>
          </w:tcPr>
          <w:p>
            <w:pPr>
              <w:spacing w:after="0"/>
              <w:rPr>
                <w:sz w:val="10"/>
                <w:szCs w:val="1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4"/>
              </w:rPr>
              <w:t>Non-</w:t>
            </w:r>
          </w:p>
        </w:tc>
        <w:tc>
          <w:tcPr>
            <w:tcW w:w="8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2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340"/>
              <w:spacing w:after="0" w:line="108" w:lineRule="exact"/>
              <w:rPr>
                <w:sz w:val="20"/>
                <w:szCs w:val="20"/>
                <w:color w:val="auto"/>
              </w:rPr>
            </w:pPr>
            <w:r>
              <w:rPr>
                <w:rFonts w:ascii="Times New Roman" w:cs="Times New Roman" w:eastAsia="Times New Roman" w:hAnsi="Times New Roman"/>
                <w:sz w:val="10"/>
                <w:szCs w:val="10"/>
                <w:b w:val="1"/>
                <w:bCs w:val="1"/>
                <w:color w:val="auto"/>
              </w:rPr>
              <w:t>Paid In</w:t>
            </w:r>
          </w:p>
        </w:tc>
        <w:tc>
          <w:tcPr>
            <w:tcW w:w="14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 w:type="dxa"/>
            <w:vAlign w:val="bottom"/>
          </w:tcPr>
          <w:p>
            <w:pPr>
              <w:spacing w:after="0"/>
              <w:rPr>
                <w:sz w:val="9"/>
                <w:szCs w:val="9"/>
                <w:color w:val="auto"/>
              </w:rPr>
            </w:pPr>
          </w:p>
        </w:tc>
        <w:tc>
          <w:tcPr>
            <w:tcW w:w="840" w:type="dxa"/>
            <w:vAlign w:val="bottom"/>
            <w:gridSpan w:val="3"/>
          </w:tcPr>
          <w:p>
            <w:pPr>
              <w:jc w:val="right"/>
              <w:ind w:right="240"/>
              <w:spacing w:after="0" w:line="10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7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0"/>
                <w:szCs w:val="10"/>
                <w:color w:val="auto"/>
              </w:rPr>
            </w:pPr>
          </w:p>
        </w:tc>
        <w:tc>
          <w:tcPr>
            <w:tcW w:w="4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0"/>
                <w:szCs w:val="10"/>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rPr>
              <w:t>Gain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200" w:type="dxa"/>
            <w:vAlign w:val="bottom"/>
          </w:tcPr>
          <w:p>
            <w:pPr>
              <w:spacing w:after="0"/>
              <w:rPr>
                <w:sz w:val="10"/>
                <w:szCs w:val="1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(Deficit)/Equity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5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2024</w:t>
            </w: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33,430</w:t>
            </w:r>
          </w:p>
        </w:tc>
        <w:tc>
          <w:tcPr>
            <w:tcW w:w="520" w:type="dxa"/>
            <w:vAlign w:val="bottom"/>
            <w:gridSpan w:val="2"/>
            <w:shd w:val="clear" w:color="auto" w:fill="CFF0FC"/>
          </w:tcPr>
          <w:p>
            <w:pPr>
              <w:jc w:val="right"/>
              <w:ind w:right="185"/>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92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23,972</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32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104,889</w:t>
            </w: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(102,907)</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1,501</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3,493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under employee equity</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Pr>
          <w:p>
            <w:pPr>
              <w:spacing w:after="0"/>
              <w:rPr>
                <w:sz w:val="8"/>
                <w:szCs w:val="8"/>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plans, net of shares withheld for tax settlement</w:t>
            </w: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Non-controlling interest adjustment for changes in</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proportionate ownership in Rani LLC</w:t>
            </w: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2,241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1,684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3,925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(7,264)</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(5,474)</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(12,738)</w:t>
            </w:r>
          </w:p>
        </w:tc>
        <w:tc>
          <w:tcPr>
            <w:tcW w:w="0" w:type="dxa"/>
            <w:vAlign w:val="bottom"/>
          </w:tcPr>
          <w:p>
            <w:pPr>
              <w:spacing w:after="0"/>
              <w:rPr>
                <w:sz w:val="1"/>
                <w:szCs w:val="1"/>
                <w:color w:val="auto"/>
              </w:rPr>
            </w:pPr>
          </w:p>
        </w:tc>
      </w:tr>
      <w:tr>
        <w:trPr>
          <w:trHeight w:val="118"/>
        </w:trPr>
        <w:tc>
          <w:tcPr>
            <w:tcW w:w="2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2025</w:t>
            </w: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33,570</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23,972</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107,108</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(110,171)</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(2,293)</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(5,349)</w:t>
            </w:r>
          </w:p>
        </w:tc>
        <w:tc>
          <w:tcPr>
            <w:tcW w:w="0" w:type="dxa"/>
            <w:vAlign w:val="bottom"/>
          </w:tcPr>
          <w:p>
            <w:pPr>
              <w:spacing w:after="0"/>
              <w:rPr>
                <w:sz w:val="1"/>
                <w:szCs w:val="1"/>
                <w:color w:val="auto"/>
              </w:rPr>
            </w:pPr>
          </w:p>
        </w:tc>
      </w:tr>
      <w:tr>
        <w:trPr>
          <w:trHeight w:val="73"/>
        </w:trPr>
        <w:tc>
          <w:tcPr>
            <w:tcW w:w="2580" w:type="dxa"/>
            <w:vAlign w:val="bottom"/>
            <w:tcBorders>
              <w:top w:val="single" w:sz="8" w:color="CFF0FC"/>
            </w:tcBorders>
          </w:tcPr>
          <w:p>
            <w:pPr>
              <w:spacing w:after="0" w:line="73" w:lineRule="exact"/>
              <w:rPr>
                <w:sz w:val="20"/>
                <w:szCs w:val="20"/>
                <w:color w:val="auto"/>
              </w:rPr>
            </w:pPr>
            <w:r>
              <w:rPr>
                <w:rFonts w:ascii="Times New Roman" w:cs="Times New Roman" w:eastAsia="Times New Roman" w:hAnsi="Times New Roman"/>
                <w:sz w:val="8"/>
                <w:szCs w:val="8"/>
                <w:color w:val="auto"/>
              </w:rPr>
              <w:t>Exercise of warrants issued in connection with the</w:t>
            </w:r>
          </w:p>
        </w:tc>
        <w:tc>
          <w:tcPr>
            <w:tcW w:w="70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October 2024 and July 2024 Securities Purchase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5,419</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3,937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Agreement, net of issuance costs of $340</w:t>
            </w: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Warrant issued for services provided</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152</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under employee equity</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8"/>
                <w:szCs w:val="8"/>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plans, net of shares withheld for tax settlement</w:t>
            </w: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under employee stock</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purchase plan</w:t>
            </w: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Effect of exchanges of Paired Interests and non-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corresponding Class A Units of Rani LLC</w:t>
            </w: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Non-controlling interest adjustment for changes in</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(1,963)</w:t>
            </w:r>
          </w:p>
        </w:tc>
        <w:tc>
          <w:tcPr>
            <w:tcW w:w="140" w:type="dxa"/>
            <w:vAlign w:val="bottom"/>
            <w:tcBorders>
              <w:right w:val="single" w:sz="8" w:color="CFF0FC"/>
            </w:tcBorders>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proportionate ownership in Rani LLC</w:t>
            </w: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2,008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1,284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3,292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(6,692)</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(4,532)</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(11,224)</w:t>
            </w:r>
          </w:p>
        </w:tc>
        <w:tc>
          <w:tcPr>
            <w:tcW w:w="0" w:type="dxa"/>
            <w:vAlign w:val="bottom"/>
          </w:tcPr>
          <w:p>
            <w:pPr>
              <w:spacing w:after="0"/>
              <w:rPr>
                <w:sz w:val="1"/>
                <w:szCs w:val="1"/>
                <w:color w:val="auto"/>
              </w:rPr>
            </w:pPr>
          </w:p>
        </w:tc>
      </w:tr>
      <w:tr>
        <w:trPr>
          <w:trHeight w:val="118"/>
        </w:trPr>
        <w:tc>
          <w:tcPr>
            <w:tcW w:w="2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w:t>
            </w: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2025</w:t>
            </w: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39,237</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111,280</w:t>
            </w: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(116,863)</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(3,578)</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(9,153)</w:t>
            </w: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-1247140</wp:posOffset>
            </wp:positionV>
            <wp:extent cx="679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-1233805</wp:posOffset>
            </wp:positionV>
            <wp:extent cx="679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-1247140</wp:posOffset>
            </wp:positionV>
            <wp:extent cx="679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-1233805</wp:posOffset>
            </wp:positionV>
            <wp:extent cx="6794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-1247140</wp:posOffset>
            </wp:positionV>
            <wp:extent cx="6794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-1233805</wp:posOffset>
            </wp:positionV>
            <wp:extent cx="6794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-1247140</wp:posOffset>
            </wp:positionV>
            <wp:extent cx="679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-1233805</wp:posOffset>
            </wp:positionV>
            <wp:extent cx="679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-1247140</wp:posOffset>
            </wp:positionV>
            <wp:extent cx="679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-1233805</wp:posOffset>
            </wp:positionV>
            <wp:extent cx="679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-1247140</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-1233805</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-1247140</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-1233805</wp:posOffset>
            </wp:positionV>
            <wp:extent cx="61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-1247140</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-1233805</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-1247140</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-1233805</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-19685</wp:posOffset>
            </wp:positionV>
            <wp:extent cx="679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-6350</wp:posOffset>
            </wp:positionV>
            <wp:extent cx="679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-19685</wp:posOffset>
            </wp:positionV>
            <wp:extent cx="679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-6350</wp:posOffset>
            </wp:positionV>
            <wp:extent cx="679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-19685</wp:posOffset>
            </wp:positionV>
            <wp:extent cx="6794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-6350</wp:posOffset>
            </wp:positionV>
            <wp:extent cx="679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-19685</wp:posOffset>
            </wp:positionV>
            <wp:extent cx="679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-6350</wp:posOffset>
            </wp:positionV>
            <wp:extent cx="679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wp:posOffset>
            </wp:positionV>
            <wp:extent cx="679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-6350</wp:posOffset>
            </wp:positionV>
            <wp:extent cx="67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-19685</wp:posOffset>
            </wp:positionV>
            <wp:extent cx="615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-6350</wp:posOffset>
            </wp:positionV>
            <wp:extent cx="615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-19685</wp:posOffset>
            </wp:positionV>
            <wp:extent cx="61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-6350</wp:posOffset>
            </wp:positionV>
            <wp:extent cx="615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-19685</wp:posOffset>
            </wp:positionV>
            <wp:extent cx="615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-6350</wp:posOffset>
            </wp:positionV>
            <wp:extent cx="615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(DEFICIT)/EQUITY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60" w:type="dxa"/>
            <w:vAlign w:val="bottom"/>
          </w:tcPr>
          <w:p>
            <w:pPr>
              <w:spacing w:after="0"/>
              <w:rPr>
                <w:sz w:val="10"/>
                <w:szCs w:val="1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320"/>
              <w:spacing w:after="0" w:line="108" w:lineRule="exact"/>
              <w:rPr>
                <w:sz w:val="20"/>
                <w:szCs w:val="20"/>
                <w:color w:val="auto"/>
              </w:rPr>
            </w:pPr>
            <w:r>
              <w:rPr>
                <w:rFonts w:ascii="Times New Roman" w:cs="Times New Roman" w:eastAsia="Times New Roman" w:hAnsi="Times New Roman"/>
                <w:sz w:val="10"/>
                <w:szCs w:val="10"/>
                <w:b w:val="1"/>
                <w:bCs w:val="1"/>
                <w:color w:val="auto"/>
              </w:rPr>
              <w:t>Paid In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 w:type="dxa"/>
            <w:vAlign w:val="bottom"/>
          </w:tcPr>
          <w:p>
            <w:pPr>
              <w:spacing w:after="0"/>
              <w:rPr>
                <w:sz w:val="9"/>
                <w:szCs w:val="9"/>
                <w:color w:val="auto"/>
              </w:rPr>
            </w:pPr>
          </w:p>
        </w:tc>
        <w:tc>
          <w:tcPr>
            <w:tcW w:w="880" w:type="dxa"/>
            <w:vAlign w:val="bottom"/>
            <w:gridSpan w:val="3"/>
          </w:tcPr>
          <w:p>
            <w:pPr>
              <w:jc w:val="right"/>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2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0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23"/>
        </w:trPr>
        <w:tc>
          <w:tcPr>
            <w:tcW w:w="2660" w:type="dxa"/>
            <w:vAlign w:val="bottom"/>
          </w:tcPr>
          <w:p>
            <w:pPr>
              <w:spacing w:after="0"/>
              <w:rPr>
                <w:sz w:val="10"/>
                <w:szCs w:val="10"/>
                <w:color w:val="auto"/>
              </w:rPr>
            </w:pPr>
          </w:p>
        </w:tc>
        <w:tc>
          <w:tcPr>
            <w:tcW w:w="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0"/>
                <w:szCs w:val="1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0"/>
                <w:szCs w:val="10"/>
                <w:color w:val="auto"/>
              </w:rPr>
            </w:pPr>
          </w:p>
        </w:tc>
        <w:tc>
          <w:tcPr>
            <w:tcW w:w="7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6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2023</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26,036</w:t>
            </w:r>
          </w:p>
        </w:tc>
        <w:tc>
          <w:tcPr>
            <w:tcW w:w="480" w:type="dxa"/>
            <w:vAlign w:val="bottom"/>
            <w:gridSpan w:val="2"/>
            <w:shd w:val="clear" w:color="auto" w:fill="CFF0FC"/>
          </w:tcPr>
          <w:p>
            <w:pPr>
              <w:jc w:val="right"/>
              <w:ind w:right="18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9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24,116</w:t>
            </w:r>
          </w:p>
        </w:tc>
        <w:tc>
          <w:tcPr>
            <w:tcW w:w="2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85,762</w:t>
            </w:r>
          </w:p>
        </w:tc>
        <w:tc>
          <w:tcPr>
            <w:tcW w:w="120" w:type="dxa"/>
            <w:vAlign w:val="bottom"/>
            <w:shd w:val="clear" w:color="auto" w:fill="CFF0FC"/>
          </w:tcPr>
          <w:p>
            <w:pPr>
              <w:spacing w:after="0"/>
              <w:rPr>
                <w:sz w:val="9"/>
                <w:szCs w:val="9"/>
                <w:color w:val="auto"/>
              </w:rPr>
            </w:pPr>
          </w:p>
        </w:tc>
        <w:tc>
          <w:tcPr>
            <w:tcW w:w="14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(12)</w:t>
            </w:r>
          </w:p>
        </w:tc>
        <w:tc>
          <w:tcPr>
            <w:tcW w:w="20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(72,889)</w:t>
            </w:r>
          </w:p>
        </w:tc>
        <w:tc>
          <w:tcPr>
            <w:tcW w:w="1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12,577</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25,443</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under employee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20"/>
                <w:szCs w:val="20"/>
                <w:color w:val="auto"/>
              </w:rPr>
            </w:pPr>
            <w:r>
              <w:rPr>
                <w:rFonts w:ascii="Times New Roman" w:cs="Times New Roman" w:eastAsia="Times New Roman" w:hAnsi="Times New Roman"/>
                <w:sz w:val="11"/>
                <w:szCs w:val="11"/>
                <w:color w:val="auto"/>
              </w:rPr>
              <w:t>plans</w:t>
            </w: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6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Effect of exchanges of non-corresponding Class A</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Units of Rani LLC</w:t>
            </w:r>
          </w:p>
        </w:tc>
        <w:tc>
          <w:tcPr>
            <w:tcW w:w="7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Non-controlling interest adjustment for changes in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20"/>
                <w:szCs w:val="20"/>
                <w:color w:val="auto"/>
              </w:rPr>
            </w:pPr>
            <w:r>
              <w:rPr>
                <w:rFonts w:ascii="Times New Roman" w:cs="Times New Roman" w:eastAsia="Times New Roman" w:hAnsi="Times New Roman"/>
                <w:sz w:val="11"/>
                <w:szCs w:val="11"/>
                <w:color w:val="auto"/>
              </w:rPr>
              <w:t>proportionate ownership in Rani LLC</w:t>
            </w: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1,969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1,901</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3,870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(7,483)</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(7,296)</w:t>
            </w: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(14,779)</w:t>
            </w:r>
          </w:p>
        </w:tc>
        <w:tc>
          <w:tcPr>
            <w:tcW w:w="0" w:type="dxa"/>
            <w:vAlign w:val="bottom"/>
          </w:tcPr>
          <w:p>
            <w:pPr>
              <w:spacing w:after="0"/>
              <w:rPr>
                <w:sz w:val="1"/>
                <w:szCs w:val="1"/>
                <w:color w:val="auto"/>
              </w:rPr>
            </w:pPr>
          </w:p>
        </w:tc>
      </w:tr>
      <w:tr>
        <w:trPr>
          <w:trHeight w:val="118"/>
        </w:trPr>
        <w:tc>
          <w:tcPr>
            <w:tcW w:w="2660" w:type="dxa"/>
            <w:vAlign w:val="bottom"/>
            <w:tcBorders>
              <w:bottom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gain</w:t>
            </w:r>
          </w:p>
        </w:tc>
        <w:tc>
          <w:tcPr>
            <w:tcW w:w="72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6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2024</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26,294</w:t>
            </w:r>
          </w:p>
        </w:tc>
        <w:tc>
          <w:tcPr>
            <w:tcW w:w="480" w:type="dxa"/>
            <w:vAlign w:val="bottom"/>
            <w:gridSpan w:val="2"/>
          </w:tcPr>
          <w:p>
            <w:pPr>
              <w:jc w:val="right"/>
              <w:ind w:right="18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9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24,116</w:t>
            </w:r>
          </w:p>
        </w:tc>
        <w:tc>
          <w:tcPr>
            <w:tcW w:w="2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87,776</w:t>
            </w:r>
          </w:p>
        </w:tc>
        <w:tc>
          <w:tcPr>
            <w:tcW w:w="120" w:type="dxa"/>
            <w:vAlign w:val="bottom"/>
          </w:tcPr>
          <w:p>
            <w:pPr>
              <w:spacing w:after="0"/>
              <w:rPr>
                <w:sz w:val="9"/>
                <w:szCs w:val="9"/>
                <w:color w:val="auto"/>
              </w:rPr>
            </w:pPr>
          </w:p>
        </w:tc>
        <w:tc>
          <w:tcPr>
            <w:tcW w:w="1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(11)</w:t>
            </w:r>
          </w:p>
        </w:tc>
        <w:tc>
          <w:tcPr>
            <w:tcW w:w="200" w:type="dxa"/>
            <w:vAlign w:val="bottom"/>
            <w:gridSpan w:val="2"/>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(80,372)</w:t>
            </w:r>
          </w:p>
        </w:tc>
        <w:tc>
          <w:tcPr>
            <w:tcW w:w="1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7,137</w:t>
            </w:r>
          </w:p>
        </w:tc>
        <w:tc>
          <w:tcPr>
            <w:tcW w:w="200" w:type="dxa"/>
            <w:vAlign w:val="bottom"/>
          </w:tcPr>
          <w:p>
            <w:pPr>
              <w:spacing w:after="0"/>
              <w:rPr>
                <w:sz w:val="9"/>
                <w:szCs w:val="9"/>
                <w:color w:val="auto"/>
              </w:rPr>
            </w:pPr>
          </w:p>
        </w:tc>
        <w:tc>
          <w:tcPr>
            <w:tcW w:w="120" w:type="dxa"/>
            <w:vAlign w:val="bottom"/>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14,535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660" w:type="dxa"/>
            <w:vAlign w:val="bottom"/>
            <w:shd w:val="clear" w:color="auto" w:fill="CFF0FC"/>
          </w:tcPr>
          <w:p>
            <w:pPr>
              <w:spacing w:after="0" w:line="73" w:lineRule="exact"/>
              <w:rPr>
                <w:sz w:val="20"/>
                <w:szCs w:val="20"/>
                <w:color w:val="auto"/>
              </w:rPr>
            </w:pPr>
            <w:r>
              <w:rPr>
                <w:rFonts w:ascii="Times New Roman" w:cs="Times New Roman" w:eastAsia="Times New Roman" w:hAnsi="Times New Roman"/>
                <w:sz w:val="8"/>
                <w:szCs w:val="8"/>
                <w:color w:val="auto"/>
              </w:rPr>
              <w:t>Issuance of common stock under employee equity</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8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6"/>
                <w:szCs w:val="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6"/>
                <w:szCs w:val="6"/>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6"/>
                <w:szCs w:val="6"/>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plans</w:t>
            </w:r>
          </w:p>
        </w:tc>
        <w:tc>
          <w:tcPr>
            <w:tcW w:w="7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Issuance of common stock under employee equity plans,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shares withheld for tax settlement</w:t>
            </w: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66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Non-controlling interest adjustment for changes in</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proportionate ownership in Rani LLC</w:t>
            </w:r>
          </w:p>
        </w:tc>
        <w:tc>
          <w:tcPr>
            <w:tcW w:w="7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2,109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2,020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4,129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(6,805)</w:t>
            </w:r>
          </w:p>
        </w:tc>
        <w:tc>
          <w:tcPr>
            <w:tcW w:w="1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(6,556)</w:t>
            </w:r>
          </w:p>
        </w:tc>
        <w:tc>
          <w:tcPr>
            <w:tcW w:w="12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(13,361)</w:t>
            </w:r>
          </w:p>
        </w:tc>
        <w:tc>
          <w:tcPr>
            <w:tcW w:w="0" w:type="dxa"/>
            <w:vAlign w:val="bottom"/>
          </w:tcPr>
          <w:p>
            <w:pPr>
              <w:spacing w:after="0"/>
              <w:rPr>
                <w:sz w:val="1"/>
                <w:szCs w:val="1"/>
                <w:color w:val="auto"/>
              </w:rPr>
            </w:pPr>
          </w:p>
        </w:tc>
      </w:tr>
      <w:tr>
        <w:trPr>
          <w:trHeight w:val="118"/>
        </w:trPr>
        <w:tc>
          <w:tcPr>
            <w:tcW w:w="26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gain</w:t>
            </w:r>
          </w:p>
        </w:tc>
        <w:tc>
          <w:tcPr>
            <w:tcW w:w="7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2024</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26,489</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24,116</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90,012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(87,177)</w:t>
            </w:r>
          </w:p>
        </w:tc>
        <w:tc>
          <w:tcPr>
            <w:tcW w:w="1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2,715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5,550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-865505</wp:posOffset>
            </wp:positionV>
            <wp:extent cx="615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-865505</wp:posOffset>
            </wp:positionV>
            <wp:extent cx="615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-865505</wp:posOffset>
            </wp:positionV>
            <wp:extent cx="615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-865505</wp:posOffset>
            </wp:positionV>
            <wp:extent cx="615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-865505</wp:posOffset>
            </wp:positionV>
            <wp:extent cx="615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-865505</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-865505</wp:posOffset>
            </wp:positionV>
            <wp:extent cx="615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-865505</wp:posOffset>
            </wp:positionV>
            <wp:extent cx="615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-865505</wp:posOffset>
            </wp:positionV>
            <wp:extent cx="6794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2142490</wp:posOffset>
            </wp:positionH>
            <wp:positionV relativeFrom="paragraph">
              <wp:posOffset>-19685</wp:posOffset>
            </wp:positionV>
            <wp:extent cx="6159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2142490</wp:posOffset>
            </wp:positionH>
            <wp:positionV relativeFrom="paragraph">
              <wp:posOffset>-6350</wp:posOffset>
            </wp:positionV>
            <wp:extent cx="6159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-19685</wp:posOffset>
            </wp:positionV>
            <wp:extent cx="6159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-6350</wp:posOffset>
            </wp:positionV>
            <wp:extent cx="615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-19685</wp:posOffset>
            </wp:positionV>
            <wp:extent cx="6159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-6350</wp:posOffset>
            </wp:positionV>
            <wp:extent cx="615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-19685</wp:posOffset>
            </wp:positionV>
            <wp:extent cx="6159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-6350</wp:posOffset>
            </wp:positionV>
            <wp:extent cx="615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-19685</wp:posOffset>
            </wp:positionV>
            <wp:extent cx="6159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-6350</wp:posOffset>
            </wp:positionV>
            <wp:extent cx="615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-19685</wp:posOffset>
            </wp:positionV>
            <wp:extent cx="6159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-6350</wp:posOffset>
            </wp:positionV>
            <wp:extent cx="615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-19685</wp:posOffset>
            </wp:positionV>
            <wp:extent cx="615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-6350</wp:posOffset>
            </wp:positionV>
            <wp:extent cx="615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-19685</wp:posOffset>
            </wp:positionV>
            <wp:extent cx="6159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-6350</wp:posOffset>
            </wp:positionV>
            <wp:extent cx="615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-19685</wp:posOffset>
            </wp:positionV>
            <wp:extent cx="6794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-6350</wp:posOffset>
            </wp:positionV>
            <wp:extent cx="6794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3"/>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2"/>
              <w:spacing w:after="0" w:line="153"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2"/>
              <w:spacing w:after="0" w:line="153"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(23,962)</w:t>
            </w:r>
          </w:p>
        </w:tc>
        <w:tc>
          <w:tcPr>
            <w:tcW w:w="3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(28,140)</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Warrant issued for services provided</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(630)</w:t>
            </w: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(142)</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long term assets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(477)</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(13,945)</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(18,431)</w:t>
            </w:r>
          </w:p>
        </w:tc>
      </w:tr>
      <w:tr>
        <w:trPr>
          <w:trHeight w:val="152"/>
        </w:trPr>
        <w:tc>
          <w:tcPr>
            <w:tcW w:w="20" w:type="dxa"/>
            <w:vAlign w:val="bottom"/>
          </w:tcPr>
          <w:p>
            <w:pPr>
              <w:spacing w:after="0"/>
              <w:rPr>
                <w:sz w:val="13"/>
                <w:szCs w:val="13"/>
                <w:color w:val="auto"/>
              </w:rPr>
            </w:pPr>
          </w:p>
        </w:tc>
        <w:tc>
          <w:tcPr>
            <w:tcW w:w="5300" w:type="dxa"/>
            <w:vAlign w:val="bottom"/>
            <w:tcBorders>
              <w:top w:val="single" w:sz="8" w:color="CFF0FC"/>
            </w:tcBorders>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38,550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(21,619)</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(112)</w:t>
            </w:r>
          </w:p>
        </w:tc>
      </w:tr>
      <w:tr>
        <w:trPr>
          <w:trHeight w:val="152"/>
        </w:trPr>
        <w:tc>
          <w:tcPr>
            <w:tcW w:w="20" w:type="dxa"/>
            <w:vAlign w:val="bottom"/>
          </w:tcPr>
          <w:p>
            <w:pPr>
              <w:spacing w:after="0"/>
              <w:rPr>
                <w:sz w:val="13"/>
                <w:szCs w:val="13"/>
                <w:color w:val="auto"/>
              </w:rPr>
            </w:pPr>
          </w:p>
        </w:tc>
        <w:tc>
          <w:tcPr>
            <w:tcW w:w="5300" w:type="dxa"/>
            <w:vAlign w:val="bottom"/>
            <w:tcBorders>
              <w:top w:val="single" w:sz="8" w:color="CFF0FC"/>
            </w:tcBorders>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23,942</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16,819</w:t>
            </w:r>
          </w:p>
        </w:tc>
        <w:tc>
          <w:tcPr>
            <w:tcW w:w="80" w:type="dxa"/>
            <w:vAlign w:val="bottom"/>
            <w:tcBorders>
              <w:top w:val="single" w:sz="8" w:color="CFF0FC"/>
            </w:tcBorders>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warrants for common stock, net of issuance costs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withholdings paid on behalf of employees for net share settlement</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Repayment of debt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220" w:type="dxa"/>
            <w:vAlign w:val="bottom"/>
          </w:tcPr>
          <w:p>
            <w:pPr>
              <w:spacing w:after="0"/>
              <w:rPr>
                <w:sz w:val="13"/>
                <w:szCs w:val="13"/>
                <w:color w:val="auto"/>
              </w:rPr>
            </w:pPr>
          </w:p>
        </w:tc>
        <w:tc>
          <w:tcPr>
            <w:tcW w:w="96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(3,543)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increase/(decrease) in cash, cash equivalents and restricted cash equivalents</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6,454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(1,350)</w:t>
            </w: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10,716</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3"/>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5,014</w:t>
            </w:r>
          </w:p>
        </w:tc>
        <w:tc>
          <w:tcPr>
            <w:tcW w:w="80" w:type="dxa"/>
            <w:vAlign w:val="bottom"/>
            <w:shd w:val="clear" w:color="auto" w:fill="CFF0FC"/>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530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receivable included in prepaid expenses and other current assets</w:t>
            </w:r>
          </w:p>
        </w:tc>
        <w:tc>
          <w:tcPr>
            <w:tcW w:w="220" w:type="dxa"/>
            <w:vAlign w:val="bottom"/>
            <w:tcBorders>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4,731</w:t>
            </w:r>
          </w:p>
        </w:tc>
        <w:tc>
          <w:tcPr>
            <w:tcW w:w="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Exchanges of non-corresponding Class A Units of Rani LLC</w:t>
            </w:r>
          </w:p>
        </w:tc>
        <w:tc>
          <w:tcPr>
            <w:tcW w:w="220" w:type="dxa"/>
            <w:vAlign w:val="bottom"/>
            <w:tcBorders>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Remeasurement of operating lease right-of-use assets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-2290445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-2290445</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-1874520</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-1874520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-1042670</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-1042670</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-613410</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-599440</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-613410</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-599440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-387985</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-374650</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-387985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-374650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-142875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-128905</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-142875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Organization and Nature of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7" w:lineRule="exact"/>
        <w:rPr>
          <w:sz w:val="20"/>
          <w:szCs w:val="20"/>
          <w:color w:val="auto"/>
        </w:rPr>
      </w:pPr>
    </w:p>
    <w:p>
      <w:pPr>
        <w:ind w:left="640" w:right="719" w:firstLine="701"/>
        <w:spacing w:after="0" w:line="263" w:lineRule="auto"/>
        <w:rPr>
          <w:sz w:val="20"/>
          <w:szCs w:val="20"/>
          <w:color w:val="auto"/>
        </w:rPr>
      </w:pPr>
      <w:r>
        <w:rPr>
          <w:rFonts w:ascii="Times New Roman" w:cs="Times New Roman" w:eastAsia="Times New Roman" w:hAnsi="Times New Roman"/>
          <w:sz w:val="14"/>
          <w:szCs w:val="14"/>
          <w:color w:val="auto"/>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Organizational Transactions</w:t>
      </w:r>
    </w:p>
    <w:p>
      <w:pPr>
        <w:spacing w:after="0" w:line="187" w:lineRule="exact"/>
        <w:rPr>
          <w:sz w:val="20"/>
          <w:szCs w:val="20"/>
          <w:color w:val="auto"/>
        </w:rPr>
      </w:pPr>
    </w:p>
    <w:p>
      <w:pPr>
        <w:ind w:left="640" w:right="659" w:firstLine="701"/>
        <w:spacing w:after="0" w:line="267" w:lineRule="auto"/>
        <w:rPr>
          <w:sz w:val="20"/>
          <w:szCs w:val="20"/>
          <w:color w:val="auto"/>
        </w:rPr>
      </w:pPr>
      <w:r>
        <w:rPr>
          <w:rFonts w:ascii="Times New Roman" w:cs="Times New Roman" w:eastAsia="Times New Roman" w:hAnsi="Times New Roman"/>
          <w:sz w:val="14"/>
          <w:szCs w:val="14"/>
          <w:color w:val="auto"/>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spacing w:after="0" w:line="315" w:lineRule="exact"/>
        <w:rPr>
          <w:sz w:val="20"/>
          <w:szCs w:val="20"/>
          <w:color w:val="auto"/>
        </w:rPr>
      </w:pPr>
    </w:p>
    <w:p>
      <w:pPr>
        <w:ind w:left="640" w:right="699" w:firstLine="701"/>
        <w:spacing w:after="0" w:line="259" w:lineRule="auto"/>
        <w:rPr>
          <w:sz w:val="20"/>
          <w:szCs w:val="20"/>
          <w:color w:val="auto"/>
        </w:rPr>
      </w:pPr>
      <w:r>
        <w:rPr>
          <w:rFonts w:ascii="Times New Roman" w:cs="Times New Roman" w:eastAsia="Times New Roman" w:hAnsi="Times New Roman"/>
          <w:sz w:val="14"/>
          <w:szCs w:val="14"/>
          <w:color w:val="auto"/>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Fifth Amended and Restated Limited Liability Company Agreement of Rani LLC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June 30, 2025, certain individuals who continue to own interests in Rani LLC but do not hold shares of the Company’s Class B common stock (“non-corresponding Class A Units”) have the ability to exchange their non-corresponding Class A Units of Rani LLC for 1,124,194 shares of the Company’s Class A common stock.</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187" w:lineRule="exact"/>
        <w:rPr>
          <w:sz w:val="20"/>
          <w:szCs w:val="20"/>
          <w:color w:val="auto"/>
        </w:rPr>
      </w:pPr>
    </w:p>
    <w:p>
      <w:pPr>
        <w:ind w:left="640" w:right="759" w:firstLine="701"/>
        <w:spacing w:after="0" w:line="260" w:lineRule="auto"/>
        <w:rPr>
          <w:sz w:val="20"/>
          <w:szCs w:val="20"/>
          <w:color w:val="auto"/>
        </w:rPr>
      </w:pPr>
      <w:r>
        <w:rPr>
          <w:rFonts w:ascii="Times New Roman" w:cs="Times New Roman" w:eastAsia="Times New Roman" w:hAnsi="Times New Roman"/>
          <w:sz w:val="14"/>
          <w:szCs w:val="14"/>
          <w:color w:val="auto"/>
        </w:rPr>
        <w:t>The Company has incurred recurring losses since its inception, including net losses of $24.0 million for the six months ended June 30, 2025. As of June 30, 2025, the Company had an accumulated deficit of $116.9 million and for the six months ended June 30, 2025, had negative cash flows from operations of $13.9 million. As of June 30, 2025, cash, cash equivalents and marketable securities totaled $10.2 million. Based on its available cash resources and current operating plan, there is substantial doubt regarding the Company’s ability to continue as a going concern for a period of one year after the date that its financial statements for the six months ended June 30, 2025 are issued. The Company’s existing capital resources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spacing w:after="0" w:line="149"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pursuant to its Controlled Equity Sales Agreement (the "Sales Agreement") with Cantor Fitzgerald &amp; Co. and H.C. Wainwright &amp; Co., LLC,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These condensed consolidated financial statements have been prepared in accordance with accounting principles generally accepted in the United States of America (“U.S. GAAP”).</w:t>
      </w:r>
    </w:p>
    <w:p>
      <w:pPr>
        <w:spacing w:after="0" w:line="124"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Condensed Consolidated Financial Statements</w:t>
      </w:r>
    </w:p>
    <w:p>
      <w:pPr>
        <w:spacing w:after="0" w:line="187"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six months ended June 30, 2025 are not necessarily indicative of the results that may be expected for the year ending December 31, 2025 or for any future period.</w:t>
      </w:r>
    </w:p>
    <w:p>
      <w:pPr>
        <w:spacing w:after="0" w:line="144"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consolidated balance sheet as of December 31, 2024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2024 consolidated financial statements and notes included in the Company’s Annual Report on Form 10-K filed with the SEC on March 31, 2025.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7" w:lineRule="exact"/>
        <w:rPr>
          <w:sz w:val="20"/>
          <w:szCs w:val="20"/>
          <w:color w:val="auto"/>
        </w:rPr>
      </w:pPr>
    </w:p>
    <w:p>
      <w:pPr>
        <w:ind w:left="640" w:right="739" w:firstLine="701"/>
        <w:spacing w:after="0" w:line="265"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7" w:lineRule="exact"/>
        <w:rPr>
          <w:sz w:val="20"/>
          <w:szCs w:val="20"/>
          <w:color w:val="auto"/>
        </w:rPr>
      </w:pPr>
    </w:p>
    <w:p>
      <w:pPr>
        <w:ind w:left="640" w:right="639" w:firstLine="701"/>
        <w:spacing w:after="0" w:line="274" w:lineRule="auto"/>
        <w:rPr>
          <w:sz w:val="20"/>
          <w:szCs w:val="20"/>
          <w:color w:val="auto"/>
        </w:rPr>
      </w:pPr>
      <w:r>
        <w:rPr>
          <w:rFonts w:ascii="Times New Roman" w:cs="Times New Roman" w:eastAsia="Times New Roman" w:hAnsi="Times New Roman"/>
          <w:sz w:val="14"/>
          <w:szCs w:val="14"/>
          <w:color w:val="auto"/>
        </w:rPr>
        <w:t>A description of the Company’s significant accounting policies is included in the audited consolidated financial statements within its Annual Report on Form 10-K for the year ended December 31, 2024. Except as noted below, there have been no material changes in the Company’s significant accounting policies during the six months ended June 30, 2025.</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 Equivalents</w:t>
      </w:r>
    </w:p>
    <w:p>
      <w:pPr>
        <w:spacing w:after="0" w:line="187" w:lineRule="exact"/>
        <w:rPr>
          <w:sz w:val="20"/>
          <w:szCs w:val="20"/>
          <w:color w:val="auto"/>
        </w:rPr>
      </w:pPr>
    </w:p>
    <w:p>
      <w:pPr>
        <w:ind w:left="640" w:right="779" w:firstLine="701"/>
        <w:spacing w:after="0" w:line="274" w:lineRule="auto"/>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six months ended June 30, 2025 and 2024:</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80" w:type="dxa"/>
            <w:vAlign w:val="bottom"/>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52"/>
        </w:trPr>
        <w:tc>
          <w:tcPr>
            <w:tcW w:w="11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3"/>
        </w:trPr>
        <w:tc>
          <w:tcPr>
            <w:tcW w:w="110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80" w:type="dxa"/>
            <w:vAlign w:val="bottom"/>
            <w:shd w:val="clear" w:color="auto" w:fill="CFF0FC"/>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1100" w:type="dxa"/>
            <w:vAlign w:val="bottom"/>
          </w:tcPr>
          <w:p>
            <w:pPr>
              <w:spacing w:after="0"/>
              <w:rPr>
                <w:sz w:val="17"/>
                <w:szCs w:val="17"/>
                <w:color w:val="auto"/>
              </w:rPr>
            </w:pPr>
          </w:p>
        </w:tc>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cash, cash equivalents and restricted cash equivalents</w:t>
            </w: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tcBorders>
              <w:bottom w:val="single" w:sz="8" w:color="CFF0FC"/>
            </w:tcBorders>
            <w:shd w:val="clear" w:color="auto" w:fill="CFF0FC"/>
          </w:tcPr>
          <w:p>
            <w:pPr>
              <w:spacing w:after="0"/>
              <w:rPr>
                <w:sz w:val="17"/>
                <w:szCs w:val="17"/>
                <w:color w:val="auto"/>
              </w:rPr>
            </w:pPr>
          </w:p>
        </w:tc>
        <w:tc>
          <w:tcPr>
            <w:tcW w:w="1100" w:type="dxa"/>
            <w:vAlign w:val="bottom"/>
          </w:tcPr>
          <w:p>
            <w:pPr>
              <w:spacing w:after="0"/>
              <w:rPr>
                <w:sz w:val="17"/>
                <w:szCs w:val="17"/>
                <w:color w:val="auto"/>
              </w:rPr>
            </w:pPr>
          </w:p>
        </w:tc>
      </w:tr>
      <w:tr>
        <w:trPr>
          <w:trHeight w:val="487"/>
        </w:trPr>
        <w:tc>
          <w:tcPr>
            <w:tcW w:w="5600" w:type="dxa"/>
            <w:vAlign w:val="bottom"/>
            <w:gridSpan w:val="2"/>
          </w:tcPr>
          <w:p>
            <w:pPr>
              <w:jc w:val="right"/>
              <w:ind w:right="1068"/>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04"/>
        </w:trPr>
        <w:tc>
          <w:tcPr>
            <w:tcW w:w="11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-742950</wp:posOffset>
            </wp:positionV>
            <wp:extent cx="4064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-728980</wp:posOffset>
            </wp:positionV>
            <wp:extent cx="406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-742950</wp:posOffset>
            </wp:positionV>
            <wp:extent cx="406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-728980</wp:posOffset>
            </wp:positionV>
            <wp:extent cx="406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7"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42" w:lineRule="exact"/>
        <w:rPr>
          <w:sz w:val="20"/>
          <w:szCs w:val="20"/>
          <w:color w:val="auto"/>
        </w:rPr>
      </w:pPr>
    </w:p>
    <w:p>
      <w:pPr>
        <w:ind w:left="640" w:right="719" w:firstLine="701"/>
        <w:spacing w:after="0" w:line="268"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to provide disaggregated information about certain income statement costs and expenses. ASU 2024-03 is effective for the Company’s annual periods beginning January 1, 2027, with early adoption permitted. The Company is evaluating the impact of this guidance on its consolidated financial statements and related disclosures.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Cash Equivalents, Restricted Cash Equivalents and Marketable Securities</w:t>
      </w:r>
    </w:p>
    <w:p>
      <w:pPr>
        <w:spacing w:after="0" w:line="185" w:lineRule="exact"/>
        <w:rPr>
          <w:sz w:val="20"/>
          <w:szCs w:val="20"/>
          <w:color w:val="auto"/>
        </w:rPr>
      </w:pPr>
    </w:p>
    <w:p>
      <w:pPr>
        <w:ind w:left="640" w:right="95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tables summarizes the amortized cost and fair value of the Company's cash equivalents, restricted cash equivalents and marketable securities by major investment category (in thousands):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As of June 30, 2025</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6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40" w:type="dxa"/>
            <w:vAlign w:val="bottom"/>
          </w:tcPr>
          <w:p>
            <w:pPr>
              <w:spacing w:after="0"/>
              <w:rPr>
                <w:sz w:val="7"/>
                <w:szCs w:val="7"/>
                <w:color w:val="auto"/>
              </w:rPr>
            </w:pPr>
          </w:p>
        </w:tc>
        <w:tc>
          <w:tcPr>
            <w:tcW w:w="70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6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1"/>
                <w:szCs w:val="11"/>
                <w:color w:val="auto"/>
              </w:rPr>
            </w:pPr>
          </w:p>
        </w:tc>
        <w:tc>
          <w:tcPr>
            <w:tcW w:w="52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cash equivalents</w:t>
            </w: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14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6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40" w:type="dxa"/>
            <w:vAlign w:val="bottom"/>
          </w:tcPr>
          <w:p>
            <w:pPr>
              <w:spacing w:after="0"/>
              <w:rPr>
                <w:sz w:val="7"/>
                <w:szCs w:val="7"/>
                <w:color w:val="auto"/>
              </w:rPr>
            </w:pPr>
          </w:p>
        </w:tc>
        <w:tc>
          <w:tcPr>
            <w:tcW w:w="70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6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1"/>
                <w:szCs w:val="11"/>
                <w:color w:val="auto"/>
              </w:rPr>
            </w:pPr>
          </w:p>
        </w:tc>
        <w:tc>
          <w:tcPr>
            <w:tcW w:w="52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4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Restricted cash equivalents:</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24,871</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25,775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-2072640</wp:posOffset>
            </wp:positionV>
            <wp:extent cx="406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-2058670</wp:posOffset>
            </wp:positionV>
            <wp:extent cx="406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-2072640</wp:posOffset>
            </wp:positionV>
            <wp:extent cx="4064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-2058670</wp:posOffset>
            </wp:positionV>
            <wp:extent cx="4064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-2072640</wp:posOffset>
            </wp:positionV>
            <wp:extent cx="406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-2058670</wp:posOffset>
            </wp:positionV>
            <wp:extent cx="4064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-2072640</wp:posOffset>
            </wp:positionV>
            <wp:extent cx="406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-2058670</wp:posOffset>
            </wp:positionV>
            <wp:extent cx="406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-456565</wp:posOffset>
            </wp:positionV>
            <wp:extent cx="406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-442595</wp:posOffset>
            </wp:positionV>
            <wp:extent cx="40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-456565</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-442595</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-456565</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-442595</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-456565</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-442595</wp:posOffset>
            </wp:positionV>
            <wp:extent cx="406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59" w:firstLine="701"/>
        <w:spacing w:after="0" w:line="262" w:lineRule="auto"/>
        <w:rPr>
          <w:sz w:val="20"/>
          <w:szCs w:val="20"/>
          <w:color w:val="auto"/>
        </w:rPr>
      </w:pPr>
      <w:r>
        <w:rPr>
          <w:rFonts w:ascii="Times New Roman" w:cs="Times New Roman" w:eastAsia="Times New Roman" w:hAnsi="Times New Roman"/>
          <w:sz w:val="14"/>
          <w:szCs w:val="14"/>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June 30, 2025,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June 30, 2025. As of June 30, 2025 and December 31, 2024, interest income receivable recorded as a component of prepaid expenses and other current assets on the condensed consolidated balance sheet was de minimis.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5" w:lineRule="exact"/>
        <w:rPr>
          <w:sz w:val="20"/>
          <w:szCs w:val="20"/>
          <w:color w:val="auto"/>
        </w:rPr>
      </w:pPr>
    </w:p>
    <w:p>
      <w:pPr>
        <w:ind w:left="640" w:right="8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tables detail information about the Company’s financial assets and liabilities measured at fair value on a recurring basis and indicates the level of inputs used in such measurements (in thousands):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1"/>
                <w:szCs w:val="11"/>
                <w:b w:val="1"/>
                <w:bCs w:val="1"/>
                <w:color w:val="auto"/>
              </w:rPr>
              <w:t>As of June 30, 2025</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60" w:type="dxa"/>
            <w:vAlign w:val="bottom"/>
            <w:shd w:val="clear" w:color="auto" w:fill="CFF0FC"/>
          </w:tcPr>
          <w:p>
            <w:pPr>
              <w:spacing w:after="0"/>
              <w:rPr>
                <w:sz w:val="14"/>
                <w:szCs w:val="14"/>
                <w:color w:val="auto"/>
              </w:rPr>
            </w:pPr>
          </w:p>
        </w:tc>
        <w:tc>
          <w:tcPr>
            <w:tcW w:w="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3,858</w:t>
            </w: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3,999</w:t>
            </w:r>
          </w:p>
        </w:tc>
      </w:tr>
      <w:tr>
        <w:trPr>
          <w:trHeight w:val="163"/>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8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9"/>
        </w:trPr>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2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80" w:type="dxa"/>
            <w:vAlign w:val="bottom"/>
            <w:shd w:val="clear" w:color="auto" w:fill="CFF0FC"/>
          </w:tcPr>
          <w:p>
            <w:pPr>
              <w:spacing w:after="0"/>
              <w:rPr>
                <w:sz w:val="14"/>
                <w:szCs w:val="14"/>
                <w:color w:val="auto"/>
              </w:rPr>
            </w:pPr>
          </w:p>
        </w:tc>
      </w:tr>
      <w:tr>
        <w:trPr>
          <w:trHeight w:val="163"/>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25,780</w:t>
            </w:r>
          </w:p>
        </w:tc>
        <w:tc>
          <w:tcPr>
            <w:tcW w:w="8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640" w:right="759" w:firstLine="701"/>
        <w:spacing w:after="0" w:line="265" w:lineRule="auto"/>
        <w:rPr>
          <w:sz w:val="20"/>
          <w:szCs w:val="20"/>
          <w:color w:val="auto"/>
        </w:rPr>
      </w:pPr>
      <w:r>
        <w:rPr>
          <w:rFonts w:ascii="Times New Roman" w:cs="Times New Roman" w:eastAsia="Times New Roman" w:hAnsi="Times New Roman"/>
          <w:sz w:val="14"/>
          <w:szCs w:val="14"/>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There were no transfers between Level 1, Level 2 and Level 3 of the fair value hierarchy for any of the periods presented.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450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2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and related costs</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Accrued rent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preclinical and clinical trial costs</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Evaluation and Collaborative Arrangements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Arrangement</w:t>
      </w:r>
    </w:p>
    <w:p>
      <w:pPr>
        <w:spacing w:after="0" w:line="187" w:lineRule="exact"/>
        <w:rPr>
          <w:sz w:val="20"/>
          <w:szCs w:val="20"/>
          <w:color w:val="auto"/>
        </w:rPr>
      </w:pPr>
    </w:p>
    <w:p>
      <w:pPr>
        <w:ind w:left="640" w:right="679" w:firstLine="701"/>
        <w:spacing w:after="0" w:line="268" w:lineRule="auto"/>
        <w:rPr>
          <w:sz w:val="20"/>
          <w:szCs w:val="20"/>
          <w:color w:val="auto"/>
        </w:rPr>
      </w:pPr>
      <w:r>
        <w:rPr>
          <w:rFonts w:ascii="Times New Roman" w:cs="Times New Roman" w:eastAsia="Times New Roman" w:hAnsi="Times New Roman"/>
          <w:sz w:val="14"/>
          <w:szCs w:val="14"/>
          <w:color w:val="auto"/>
        </w:rPr>
        <w:t>In August 2024, the Company entered into a contract with Chugai Pharmaceutical Co., Ltd. ("Chugai") to conduct evaluation services of certain Chugai compounds for oral delivery using the RaniPill HC, which was concluded to be a single performance obligation with an enforceable right to payment. Chugai paid the Company an up-front payment of $0.6 million upon execution of the contract. Upon completion of the evaluation services, in April 2025, the Company was paid a final $0.6 million for an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14" w:name="page15"/>
    <w:bookmarkEnd w:id="14"/>
    <w:p>
      <w:pPr>
        <w:ind w:left="640" w:right="1079"/>
        <w:spacing w:after="0" w:line="292" w:lineRule="auto"/>
        <w:rPr>
          <w:sz w:val="20"/>
          <w:szCs w:val="20"/>
          <w:color w:val="auto"/>
        </w:rPr>
      </w:pPr>
      <w:r>
        <w:rPr>
          <w:rFonts w:ascii="Times New Roman" w:cs="Times New Roman" w:eastAsia="Times New Roman" w:hAnsi="Times New Roman"/>
          <w:sz w:val="14"/>
          <w:szCs w:val="14"/>
          <w:color w:val="auto"/>
        </w:rPr>
        <w:t>aggregate total of $1.2 million due under the contract. For the three and six months ended June 30, 2025, $0 and $0.2 million in contract revenue was recognized for evaluation services performed, respectively.</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ProGen Co., Ltd.</w:t>
      </w:r>
    </w:p>
    <w:p>
      <w:pPr>
        <w:spacing w:after="0" w:line="187" w:lineRule="exact"/>
        <w:rPr>
          <w:sz w:val="20"/>
          <w:szCs w:val="20"/>
          <w:color w:val="auto"/>
        </w:rPr>
      </w:pPr>
    </w:p>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spacing w:after="0" w:line="142" w:lineRule="exact"/>
        <w:rPr>
          <w:sz w:val="20"/>
          <w:szCs w:val="20"/>
          <w:color w:val="auto"/>
        </w:rPr>
      </w:pPr>
    </w:p>
    <w:p>
      <w:pPr>
        <w:ind w:left="640" w:right="719" w:firstLine="701"/>
        <w:spacing w:after="0" w:line="261" w:lineRule="auto"/>
        <w:rPr>
          <w:sz w:val="20"/>
          <w:szCs w:val="20"/>
          <w:color w:val="auto"/>
        </w:rPr>
      </w:pPr>
      <w:r>
        <w:rPr>
          <w:rFonts w:ascii="Times New Roman" w:cs="Times New Roman" w:eastAsia="Times New Roman" w:hAnsi="Times New Roman"/>
          <w:sz w:val="14"/>
          <w:szCs w:val="14"/>
          <w:color w:val="auto"/>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spacing w:after="0" w:line="318"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spacing w:after="0" w:line="144" w:lineRule="exact"/>
        <w:rPr>
          <w:sz w:val="20"/>
          <w:szCs w:val="20"/>
          <w:color w:val="auto"/>
        </w:rPr>
      </w:pPr>
    </w:p>
    <w:p>
      <w:pPr>
        <w:ind w:left="640" w:right="719" w:firstLine="701"/>
        <w:spacing w:after="0" w:line="265" w:lineRule="auto"/>
        <w:rPr>
          <w:sz w:val="20"/>
          <w:szCs w:val="20"/>
          <w:color w:val="auto"/>
        </w:rPr>
      </w:pPr>
      <w:r>
        <w:rPr>
          <w:rFonts w:ascii="Times New Roman" w:cs="Times New Roman" w:eastAsia="Times New Roman" w:hAnsi="Times New Roman"/>
          <w:sz w:val="14"/>
          <w:szCs w:val="14"/>
          <w:color w:val="auto"/>
        </w:rPr>
        <w:t>The Company determined that the Collaboration Agreement is not a contract with a customer and is therefore accounted for under ASC Topic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For the three and six months ended June 30, 2025, reimbursement due from ProGen recorded as contra-research and development expense was de minimis.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Related Party Transactions</w:t>
      </w:r>
    </w:p>
    <w:p>
      <w:pPr>
        <w:spacing w:after="0" w:line="185" w:lineRule="exact"/>
        <w:rPr>
          <w:sz w:val="20"/>
          <w:szCs w:val="20"/>
          <w:color w:val="auto"/>
        </w:rPr>
      </w:pPr>
    </w:p>
    <w:p>
      <w:pPr>
        <w:jc w:val="both"/>
        <w:ind w:left="640" w:right="839" w:firstLine="701"/>
        <w:spacing w:after="0" w:line="274" w:lineRule="auto"/>
        <w:rPr>
          <w:sz w:val="20"/>
          <w:szCs w:val="20"/>
          <w:color w:val="auto"/>
        </w:rPr>
      </w:pPr>
      <w:r>
        <w:rPr>
          <w:rFonts w:ascii="Times New Roman" w:cs="Times New Roman" w:eastAsia="Times New Roman" w:hAnsi="Times New Roman"/>
          <w:sz w:val="14"/>
          <w:szCs w:val="14"/>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Service Agreements</w:t>
      </w:r>
    </w:p>
    <w:p>
      <w:pPr>
        <w:spacing w:after="0" w:line="187"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The Occupancy Services for the facility in Milpitas, California expired in August 2024. The Occupancy Services for the facility in San Antonio, Texas terminated in June 2024.</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5" w:name="page16"/>
    <w:bookmarkEnd w:id="15"/>
    <w:p>
      <w:pPr>
        <w:ind w:left="640" w:right="759" w:firstLine="701"/>
        <w:spacing w:after="0" w:line="259" w:lineRule="auto"/>
        <w:rPr>
          <w:sz w:val="20"/>
          <w:szCs w:val="20"/>
          <w:color w:val="auto"/>
        </w:rPr>
      </w:pPr>
      <w:r>
        <w:rPr>
          <w:rFonts w:ascii="Times New Roman" w:cs="Times New Roman" w:eastAsia="Times New Roman" w:hAnsi="Times New Roman"/>
          <w:sz w:val="14"/>
          <w:szCs w:val="14"/>
          <w:color w:val="auto"/>
        </w:rPr>
        <w:t>In June 2021, Rani Management Services, Inc.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table below details the amounts charged by ICL for services and rent, net of the amount that the Company charged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ICL, which is included in the condensed consolidated statements of operations (in thousands):</w:t>
      </w:r>
    </w:p>
    <w:p>
      <w:pPr>
        <w:spacing w:after="0" w:line="164"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840" w:type="dxa"/>
            <w:vAlign w:val="bottom"/>
          </w:tcPr>
          <w:p>
            <w:pPr>
              <w:spacing w:after="0"/>
              <w:rPr>
                <w:sz w:val="11"/>
                <w:szCs w:val="11"/>
                <w:color w:val="auto"/>
              </w:rPr>
            </w:pPr>
          </w:p>
        </w:tc>
        <w:tc>
          <w:tcPr>
            <w:tcW w:w="1760" w:type="dxa"/>
            <w:vAlign w:val="bottom"/>
            <w:gridSpan w:val="5"/>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09"/>
        </w:trPr>
        <w:tc>
          <w:tcPr>
            <w:tcW w:w="28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1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540" w:type="dxa"/>
            <w:vAlign w:val="bottom"/>
            <w:shd w:val="clear" w:color="auto" w:fill="CFF0FC"/>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shd w:val="clear" w:color="auto" w:fill="CFF0FC"/>
          </w:tcPr>
          <w:p>
            <w:pPr>
              <w:spacing w:after="0"/>
              <w:rPr>
                <w:sz w:val="14"/>
                <w:szCs w:val="14"/>
                <w:color w:val="auto"/>
              </w:rPr>
            </w:pP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4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4"/>
                <w:szCs w:val="14"/>
                <w:color w:val="auto"/>
              </w:rPr>
            </w:pPr>
          </w:p>
        </w:tc>
      </w:tr>
      <w:tr>
        <w:trPr>
          <w:trHeight w:val="203"/>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top w:val="single" w:sz="8" w:color="auto"/>
              <w:bottom w:val="single" w:sz="8" w:color="auto"/>
            </w:tcBorders>
            <w:shd w:val="clear" w:color="auto" w:fill="CFF0FC"/>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-19685</wp:posOffset>
            </wp:positionV>
            <wp:extent cx="40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-6350</wp:posOffset>
            </wp:positionV>
            <wp:extent cx="406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-19685</wp:posOffset>
            </wp:positionV>
            <wp:extent cx="406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-6350</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-19685</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-6350</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939" w:firstLine="701"/>
        <w:spacing w:after="0" w:line="292" w:lineRule="auto"/>
        <w:rPr>
          <w:sz w:val="20"/>
          <w:szCs w:val="20"/>
          <w:color w:val="auto"/>
        </w:rPr>
      </w:pPr>
      <w:r>
        <w:rPr>
          <w:rFonts w:ascii="Times New Roman" w:cs="Times New Roman" w:eastAsia="Times New Roman" w:hAnsi="Times New Roman"/>
          <w:sz w:val="14"/>
          <w:szCs w:val="14"/>
          <w:color w:val="auto"/>
        </w:rPr>
        <w:t>As of June 30, 2025, one of the Company's facilities was owned by an entity affiliated with the Company’s Chairman (Note 8). The Company pays for the use of this facility through the RMS-ICL Service Agreement.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w:t>
      </w:r>
    </w:p>
    <w:p>
      <w:pPr>
        <w:spacing w:after="0" w:line="187"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Non-Exclusive License Agreement between Rani and ICL (“Non-Exclusive License Agreement”)</w:t>
      </w:r>
    </w:p>
    <w:p>
      <w:pPr>
        <w:spacing w:after="0" w:line="187"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739" w:firstLine="701"/>
        <w:spacing w:after="0" w:line="265" w:lineRule="auto"/>
        <w:rPr>
          <w:sz w:val="20"/>
          <w:szCs w:val="20"/>
          <w:color w:val="auto"/>
        </w:rPr>
      </w:pPr>
      <w:r>
        <w:rPr>
          <w:rFonts w:ascii="Times New Roman" w:cs="Times New Roman" w:eastAsia="Times New Roman" w:hAnsi="Times New Roman"/>
          <w:sz w:val="14"/>
          <w:szCs w:val="14"/>
          <w:color w:val="auto"/>
        </w:rPr>
        <w:t>Certain parties to the tax receivable agreement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During each of the six months ended June 30, 2025 and 2024, these parties to the TRA exchanged zero Paired Interests that resulted in tax benefits subject to the TRA.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Rani LLC Agreement</w:t>
      </w:r>
    </w:p>
    <w:p>
      <w:pPr>
        <w:spacing w:after="0" w:line="187"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320" w:lineRule="exact"/>
        <w:rPr>
          <w:sz w:val="20"/>
          <w:szCs w:val="20"/>
          <w:color w:val="auto"/>
        </w:rPr>
      </w:pPr>
    </w:p>
    <w:p>
      <w:pPr>
        <w:ind w:left="640" w:right="1119" w:firstLine="701"/>
        <w:spacing w:after="0" w:line="292" w:lineRule="auto"/>
        <w:rPr>
          <w:sz w:val="20"/>
          <w:szCs w:val="20"/>
          <w:color w:val="auto"/>
        </w:rPr>
      </w:pPr>
      <w:r>
        <w:rPr>
          <w:rFonts w:ascii="Times New Roman" w:cs="Times New Roman" w:eastAsia="Times New Roman" w:hAnsi="Times New Roman"/>
          <w:sz w:val="14"/>
          <w:szCs w:val="14"/>
          <w:color w:val="auto"/>
        </w:rPr>
        <w:t>During each of the six months ended June 30, 2025 and 2024, certain related parties that are party to the Rani LLC Agreement exchanged zero Paired Interests, for an equal number of shares of the Company's Class A common stock.</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spacing w:after="0" w:line="146"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spacing w:after="0" w:line="149"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Under the Rani LLC-ICL Service Agreement amended in March 2022, Rani LLC had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The Company accounted for its Occupancy Services in San Antonio, Texas as a short-term lease. In December 2023, the Company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Company accounted for the March 2024 extension for its Occupancy Services in Milpitas, California as a short-term lease. The Occupancy Services for the facility in Milpitas, California expired in August 2024.</w:t>
      </w:r>
    </w:p>
    <w:p>
      <w:pPr>
        <w:spacing w:after="0" w:line="149" w:lineRule="exact"/>
        <w:rPr>
          <w:sz w:val="20"/>
          <w:szCs w:val="20"/>
          <w:color w:val="auto"/>
        </w:rPr>
      </w:pPr>
    </w:p>
    <w:p>
      <w:pPr>
        <w:ind w:left="640" w:right="879" w:firstLine="701"/>
        <w:spacing w:after="0" w:line="265" w:lineRule="auto"/>
        <w:rPr>
          <w:sz w:val="20"/>
          <w:szCs w:val="20"/>
          <w:color w:val="auto"/>
        </w:rPr>
      </w:pPr>
      <w:r>
        <w:rPr>
          <w:rFonts w:ascii="Times New Roman" w:cs="Times New Roman" w:eastAsia="Times New Roman" w:hAnsi="Times New Roman"/>
          <w:sz w:val="14"/>
          <w:szCs w:val="14"/>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spacing w:after="0" w:line="142" w:lineRule="exact"/>
        <w:rPr>
          <w:sz w:val="20"/>
          <w:szCs w:val="20"/>
          <w:color w:val="auto"/>
        </w:rPr>
      </w:pPr>
    </w:p>
    <w:p>
      <w:pPr>
        <w:jc w:val="both"/>
        <w:ind w:left="640" w:right="879" w:firstLine="701"/>
        <w:spacing w:after="0" w:line="274" w:lineRule="auto"/>
        <w:rPr>
          <w:sz w:val="20"/>
          <w:szCs w:val="20"/>
          <w:color w:val="auto"/>
        </w:rPr>
      </w:pPr>
      <w:r>
        <w:rPr>
          <w:rFonts w:ascii="Times New Roman" w:cs="Times New Roman" w:eastAsia="Times New Roman" w:hAnsi="Times New Roman"/>
          <w:sz w:val="14"/>
          <w:szCs w:val="14"/>
          <w:color w:val="auto"/>
        </w:rPr>
        <w:t>Supplemental information on the Company’s condensed consolidated balance sheet and statements of cash flows as of June 30, 2025 and 2024 and for the six months ended June 30, 2025 and 2024, respectively, related to the Company's leases was as follows (in thousands):</w:t>
      </w:r>
    </w:p>
    <w:p>
      <w:pPr>
        <w:spacing w:after="0" w:line="1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109"/>
        </w:trPr>
        <w:tc>
          <w:tcPr>
            <w:tcW w:w="5460" w:type="dxa"/>
            <w:vAlign w:val="bottom"/>
            <w:gridSpan w:val="2"/>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63"/>
        </w:trPr>
        <w:tc>
          <w:tcPr>
            <w:tcW w:w="1100" w:type="dxa"/>
            <w:vAlign w:val="bottom"/>
          </w:tcPr>
          <w:p>
            <w:pPr>
              <w:spacing w:after="0"/>
              <w:rPr>
                <w:sz w:val="14"/>
                <w:szCs w:val="14"/>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FF0FC"/>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1100" w:type="dxa"/>
            <w:vAlign w:val="bottom"/>
          </w:tcPr>
          <w:p>
            <w:pPr>
              <w:spacing w:after="0"/>
              <w:rPr>
                <w:sz w:val="16"/>
                <w:szCs w:val="16"/>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w:t>
            </w:r>
          </w:p>
        </w:tc>
        <w:tc>
          <w:tcPr>
            <w:tcW w:w="1100" w:type="dxa"/>
            <w:vAlign w:val="bottom"/>
          </w:tcPr>
          <w:p>
            <w:pPr>
              <w:spacing w:after="0"/>
              <w:rPr>
                <w:sz w:val="16"/>
                <w:szCs w:val="16"/>
                <w:color w:val="auto"/>
              </w:rPr>
            </w:pPr>
          </w:p>
        </w:tc>
      </w:tr>
      <w:tr>
        <w:trPr>
          <w:trHeight w:val="501"/>
        </w:trPr>
        <w:tc>
          <w:tcPr>
            <w:tcW w:w="546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17</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04"/>
        </w:trPr>
        <w:tc>
          <w:tcPr>
            <w:tcW w:w="11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17" w:name="page18"/>
    <w:bookmarkEnd w:id="17"/>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09"/>
        </w:trPr>
        <w:tc>
          <w:tcPr>
            <w:tcW w:w="45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7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amounts included in lease liabilities: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FF0FC"/>
          </w:tcPr>
          <w:p>
            <w:pPr>
              <w:spacing w:after="0"/>
              <w:rPr>
                <w:sz w:val="14"/>
                <w:szCs w:val="14"/>
                <w:color w:val="auto"/>
              </w:rPr>
            </w:pPr>
          </w:p>
        </w:tc>
      </w:tr>
    </w:tbl>
    <w:p>
      <w:pPr>
        <w:spacing w:after="0" w:line="157"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As of June 30, 2025, minimum annual rental payments under the Company’s operating lease agreements are as follows (in thousands), excluding short-term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 (remaining six months)</w:t>
            </w:r>
          </w:p>
        </w:tc>
        <w:tc>
          <w:tcPr>
            <w:tcW w:w="15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4"/>
                <w:szCs w:val="14"/>
                <w:color w:val="auto"/>
              </w:rPr>
            </w:pPr>
          </w:p>
        </w:tc>
      </w:tr>
      <w:tr>
        <w:trPr>
          <w:trHeight w:val="172"/>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shd w:val="clear" w:color="auto" w:fill="CFF0FC"/>
          </w:tcPr>
          <w:p>
            <w:pPr>
              <w:spacing w:after="0"/>
              <w:rPr>
                <w:sz w:val="14"/>
                <w:szCs w:val="14"/>
                <w:color w:val="auto"/>
              </w:rPr>
            </w:pPr>
          </w:p>
        </w:tc>
      </w:tr>
      <w:tr>
        <w:trPr>
          <w:trHeight w:val="17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4"/>
                <w:szCs w:val="14"/>
                <w:color w:val="auto"/>
              </w:rPr>
            </w:pPr>
          </w:p>
        </w:tc>
      </w:tr>
      <w:tr>
        <w:trPr>
          <w:trHeight w:val="172"/>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shd w:val="clear" w:color="auto" w:fill="CFF0FC"/>
          </w:tcPr>
          <w:p>
            <w:pPr>
              <w:spacing w:after="0"/>
              <w:rPr>
                <w:sz w:val="14"/>
                <w:szCs w:val="14"/>
                <w:color w:val="auto"/>
              </w:rPr>
            </w:pPr>
          </w:p>
        </w:tc>
      </w:tr>
      <w:tr>
        <w:trPr>
          <w:trHeight w:val="172"/>
        </w:trPr>
        <w:tc>
          <w:tcPr>
            <w:tcW w:w="42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11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bottom w:val="single" w:sz="8" w:color="CFF0FC"/>
            </w:tcBorders>
          </w:tcPr>
          <w:p>
            <w:pPr>
              <w:spacing w:after="0"/>
              <w:rPr>
                <w:sz w:val="14"/>
                <w:szCs w:val="14"/>
                <w:color w:val="auto"/>
              </w:rPr>
            </w:pPr>
          </w:p>
        </w:tc>
      </w:tr>
      <w:tr>
        <w:trPr>
          <w:trHeight w:val="163"/>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undiscounted future minimum lease payments</w:t>
            </w: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80" w:type="dxa"/>
            <w:vAlign w:val="bottom"/>
            <w:shd w:val="clear" w:color="auto" w:fill="CFF0FC"/>
          </w:tcPr>
          <w:p>
            <w:pPr>
              <w:spacing w:after="0"/>
              <w:rPr>
                <w:sz w:val="14"/>
                <w:szCs w:val="14"/>
                <w:color w:val="auto"/>
              </w:rPr>
            </w:pPr>
          </w:p>
        </w:tc>
      </w:tr>
      <w:tr>
        <w:trPr>
          <w:trHeight w:val="17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(860)</w:t>
            </w:r>
          </w:p>
        </w:tc>
      </w:tr>
      <w:tr>
        <w:trPr>
          <w:trHeight w:val="203"/>
        </w:trPr>
        <w:tc>
          <w:tcPr>
            <w:tcW w:w="4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liability</w:t>
            </w:r>
          </w:p>
        </w:tc>
        <w:tc>
          <w:tcPr>
            <w:tcW w:w="1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44"/>
        </w:trPr>
        <w:tc>
          <w:tcPr>
            <w:tcW w:w="426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Less: Current portion of operating lease liability</w:t>
            </w:r>
          </w:p>
        </w:tc>
        <w:tc>
          <w:tcPr>
            <w:tcW w:w="1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1,189</w:t>
            </w:r>
          </w:p>
        </w:tc>
        <w:tc>
          <w:tcPr>
            <w:tcW w:w="80" w:type="dxa"/>
            <w:vAlign w:val="bottom"/>
          </w:tcPr>
          <w:p>
            <w:pPr>
              <w:spacing w:after="0"/>
              <w:rPr>
                <w:sz w:val="12"/>
                <w:szCs w:val="12"/>
                <w:color w:val="auto"/>
              </w:rPr>
            </w:pPr>
          </w:p>
        </w:tc>
      </w:tr>
      <w:tr>
        <w:trPr>
          <w:trHeight w:val="203"/>
        </w:trPr>
        <w:tc>
          <w:tcPr>
            <w:tcW w:w="4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1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-606425</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-265430</wp:posOffset>
            </wp:positionV>
            <wp:extent cx="406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-251460</wp:posOffset>
            </wp:positionV>
            <wp:extent cx="40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Warrants</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May 2025, in conjunction with a service agreement, the Company issued warrants to purchase 300,000 shares of the Company's Class A common stock, $0.0001 par value per share ("Service Warrants") to a third party vendor. The value of the warrants was expensed immediately as a general and administrative cost. The warrants are exercisable for a period of five years from the issuance date, at an exercise price per share equal to $0.70. The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As of June 30, 2025, all of the Service Warrants were outstanding.</w:t>
      </w:r>
    </w:p>
    <w:p>
      <w:pPr>
        <w:spacing w:after="0" w:line="146"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May 2025, the Company entered into a letter agreement (the “Letter Agreement”) with an existing institutional investor (the “Equity Investor”) pursuant to which the Equity Investor exercised for cash all outstanding Series B and Series C warrants at a reduced exercise price of $0.65 per share, for net proceeds of $3.9 million in consideration for the Company’s issuance of a new Series D common stock warrant (the “Series D Warrant”) to purchase an aggregate of 13,160,172 shares of Class A common stock, $0.0001 par value per share (the “Class A Common Stock”). Modification accounting was only performed on the warrants that were actually exercised pursuant to the Letter Agreement as it represented a short-term inducement. On the modification date, the Company remeasured the warrants at the reduced exercise price and recognized a $1.3 million inducement charge in the unaudited condensed consolidated statements of changes in stockholders' (deficit)/equity for the three and six months ended June 30, 2025.</w:t>
      </w:r>
    </w:p>
    <w:p>
      <w:pPr>
        <w:spacing w:after="0" w:line="146"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The Series D common warrants are exercisable immediately following stockholder approval, and will expire five years from the date of stockholder approval and have an exercise price of $0.65 per share. The Series D warrants include certain rights upon “fundamental transactions,” as described in the Series D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D warrants on the date of the consummation of the fundamental transactions. As of June 30, 2025, there were 13,160,172 Series D warrants outstanding.</w:t>
      </w:r>
    </w:p>
    <w:p>
      <w:pPr>
        <w:spacing w:after="0" w:line="144" w:lineRule="exact"/>
        <w:rPr>
          <w:sz w:val="20"/>
          <w:szCs w:val="20"/>
          <w:color w:val="auto"/>
        </w:rPr>
      </w:pPr>
    </w:p>
    <w:p>
      <w:pPr>
        <w:ind w:left="640" w:right="659" w:firstLine="701"/>
        <w:spacing w:after="0" w:line="263" w:lineRule="auto"/>
        <w:rPr>
          <w:sz w:val="20"/>
          <w:szCs w:val="20"/>
          <w:color w:val="auto"/>
        </w:rPr>
      </w:pPr>
      <w:r>
        <w:rPr>
          <w:rFonts w:ascii="Times New Roman" w:cs="Times New Roman" w:eastAsia="Times New Roman" w:hAnsi="Times New Roman"/>
          <w:sz w:val="14"/>
          <w:szCs w:val="14"/>
          <w:color w:val="auto"/>
        </w:rPr>
        <w:t>Pursuant to the terms of the Letter Agreement, in the event that the exercise of the Series B and Series C warrants would have otherwise caused a holder to exceed the beneficial ownership limitations set forth in the existing warrant, the Company issued the number of shares that would not cause a holder to exceed such beneficial ownership limitation and agreed to hold such balance of shares of common stock in abeyance. Accordingly, at June 30, 2025, an aggregate of 1,161,000 shares of common stock were held in abe</w:t>
      </w:r>
      <w:r>
        <w:rPr>
          <w:rFonts w:ascii="Times New Roman" w:cs="Times New Roman" w:eastAsia="Times New Roman" w:hAnsi="Times New Roman"/>
          <w:sz w:val="14"/>
          <w:szCs w:val="14"/>
          <w:color w:val="212529"/>
        </w:rPr>
        <w:t>yance (the “Abeyance Shares”) with such Abeyance Shares evidenced through the holder’s existing warrants and which 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deemed to be prepaid. The Abeyance Shares were to be held until notice is received by the holder that the balance of the shares of</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18" w:name="page19"/>
    <w:bookmarkEnd w:id="18"/>
    <w:p>
      <w:pPr>
        <w:ind w:left="640" w:right="799"/>
        <w:spacing w:after="0" w:line="292" w:lineRule="auto"/>
        <w:rPr>
          <w:sz w:val="20"/>
          <w:szCs w:val="20"/>
          <w:color w:val="auto"/>
        </w:rPr>
      </w:pPr>
      <w:r>
        <w:rPr>
          <w:rFonts w:ascii="Times New Roman" w:cs="Times New Roman" w:eastAsia="Times New Roman" w:hAnsi="Times New Roman"/>
          <w:sz w:val="14"/>
          <w:szCs w:val="14"/>
          <w:color w:val="212529"/>
        </w:rPr>
        <w:t>common stock may be issued in compliance with such beneficial ownership limitations and may be exercised pursuant to a notice of exercise from the holder. The Abeyance Shares were subsequently released during July 2025.</w:t>
      </w:r>
    </w:p>
    <w:p>
      <w:pPr>
        <w:spacing w:after="0" w:line="124" w:lineRule="exact"/>
        <w:rPr>
          <w:sz w:val="20"/>
          <w:szCs w:val="20"/>
          <w:color w:val="auto"/>
        </w:rPr>
      </w:pPr>
    </w:p>
    <w:p>
      <w:pPr>
        <w:ind w:left="640" w:right="659" w:firstLine="701"/>
        <w:spacing w:after="0" w:line="258" w:lineRule="auto"/>
        <w:rPr>
          <w:sz w:val="20"/>
          <w:szCs w:val="20"/>
          <w:color w:val="auto"/>
        </w:rPr>
      </w:pPr>
      <w:r>
        <w:rPr>
          <w:rFonts w:ascii="Times New Roman" w:cs="Times New Roman" w:eastAsia="Times New Roman" w:hAnsi="Times New Roman"/>
          <w:sz w:val="14"/>
          <w:szCs w:val="14"/>
          <w:color w:val="auto"/>
        </w:rPr>
        <w:t>In October 2024, the Company entered into a securities purchase agreement (the “October Securities Purchase Agreement”) with the Equity Investor relating to the issuance and sale of: (i) 3,000,000 shares of its Class A common stock, par value $0.0001 per share, (ii) pre-funded warrants to purchase 333,333 shares of Class A common stock, and (iii) Series C common warrants, which accompany the Class A common stock and pre-funded warrants, to purchase an aggregate of 3,333,333 shares of Class A common stock (the “October Offering”). Pursuant to the October Securities Purchase Agreement, Series A common warrants to purchase an aggregate of 3,246,753 shares of Class A common stock issued in connection with the July securities purchase agreement were cancelled. The pre-funded warrants were exercisable immediately and had an unlimited term and an exercise price of $0.0001 per share. The Series C common warrants were exercisable immediately following the closing date and were to expire five years from the date of issuance and originally had an exercise price of $3.00 per share. The Series C warrants included certain rights upon “fundamental transactions,” as described in the Series C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C warrants on the date of the consummation of the fundamental transactions. In October 2024, the pre-funded warrants were fully exercised for de minimis proceeds. As of June 30, 2025, all Series C warrants had been fully exercised.</w:t>
      </w:r>
    </w:p>
    <w:p>
      <w:pPr>
        <w:spacing w:after="0" w:line="155" w:lineRule="exact"/>
        <w:rPr>
          <w:sz w:val="20"/>
          <w:szCs w:val="20"/>
          <w:color w:val="auto"/>
        </w:rPr>
      </w:pPr>
    </w:p>
    <w:p>
      <w:pPr>
        <w:ind w:left="640" w:right="659" w:firstLine="701"/>
        <w:spacing w:after="0" w:line="258" w:lineRule="auto"/>
        <w:rPr>
          <w:sz w:val="20"/>
          <w:szCs w:val="20"/>
          <w:color w:val="auto"/>
        </w:rPr>
      </w:pPr>
      <w:r>
        <w:rPr>
          <w:rFonts w:ascii="Times New Roman" w:cs="Times New Roman" w:eastAsia="Times New Roman" w:hAnsi="Times New Roman"/>
          <w:sz w:val="14"/>
          <w:szCs w:val="14"/>
          <w:color w:val="auto"/>
        </w:rPr>
        <w:t>In July 2024, the Company entered into a securities purchase agreement (the “July Securities Purchase Agreement”) with the Equity Investor relating to the issuance and sale of: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“July Offering”). Pursuant to the October Securities Purchase Agreement, the Series A common warrants to purchase an aggregate of 3,246,753 shares of Class A common stock issued were cancelled. The Series B warrants were exercisable following the six-month anniversary of the closing date and were to expire five and a half years from the date of issuance and had an exercise price of $3.08 per share. The Series B warrants included certain rights upon “fundamental transactions,” as described in the Series B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B warrants on the date of the consummation of the fundamental transactions. In August 2024, the pre-funded warrants were fully exercised for de minimis proceeds. As of June 30, 2025, all Series B warrants had been fully exercised.</w:t>
      </w:r>
    </w:p>
    <w:p>
      <w:pPr>
        <w:spacing w:after="0" w:line="155" w:lineRule="exact"/>
        <w:rPr>
          <w:sz w:val="20"/>
          <w:szCs w:val="20"/>
          <w:color w:val="auto"/>
        </w:rPr>
      </w:pPr>
    </w:p>
    <w:p>
      <w:pPr>
        <w:ind w:left="640" w:right="699" w:firstLine="701"/>
        <w:spacing w:after="0" w:line="267" w:lineRule="auto"/>
        <w:rPr>
          <w:sz w:val="20"/>
          <w:szCs w:val="20"/>
          <w:color w:val="auto"/>
        </w:rPr>
      </w:pPr>
      <w:r>
        <w:rPr>
          <w:rFonts w:ascii="Times New Roman" w:cs="Times New Roman" w:eastAsia="Times New Roman" w:hAnsi="Times New Roman"/>
          <w:sz w:val="14"/>
          <w:szCs w:val="14"/>
          <w:color w:val="auto"/>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June 30, 2025, there were 76,336 warrants outstanding.</w:t>
      </w: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Warrant activity</w:t>
      </w:r>
    </w:p>
    <w:p>
      <w:pPr>
        <w:spacing w:after="0" w:line="2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warrant activity during the periods indicated is as follows:</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9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6,656,422</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13,460,172</w:t>
            </w:r>
          </w:p>
        </w:tc>
        <w:tc>
          <w:tcPr>
            <w:tcW w:w="10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(6,580,086)</w:t>
            </w: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Outstanding at June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13,536,508</w:t>
            </w: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FF0FC"/>
            </w:tcBorders>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-135890</wp:posOffset>
            </wp:positionV>
            <wp:extent cx="4064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1019" w:firstLine="699"/>
        <w:spacing w:after="0" w:line="274" w:lineRule="auto"/>
        <w:tabs>
          <w:tab w:leader="none" w:pos="1448"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Note that these warrants had an initial exercise price of $3.00 per share and were modified during the three and six months ended June 30, 2025 to a new exercise price of $0.65 per share. Of the 6,580,086 shares received upon exercise of these warrants, 1,160,000 shares were held in abeyance at June 30, 2025.</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color w:val="auto"/>
        </w:rPr>
        <w:t>10. Stockholders’ Equity</w:t>
      </w:r>
    </w:p>
    <w:p>
      <w:pPr>
        <w:spacing w:after="0" w:line="185"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As of June 30, 2025, Rani Holdings held approximately 61% of the Class A Units of Rani LLC, and approximately 39% of the outstanding Class A Units of Rani LLC are held by the Continuing LLC Owners. From the date of the Organizational Transactions to June 30, 2025, 5,378,539 Paired Interests and 362,821 non-corresponding Class A Units of Rani LLC were exchanged for an equal number of shares of the Company's Class A common stock. For each of the six months ended June 30, 2025 and 2024, certain of the Continuing LLC Owners executed an exchange of zero Paired Interests and zero and 83,377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 In accordance with the Rani LLC Agreement, Rani LLC also issues a corresponding Class A Unit to Rani Holdings for each share of common stock issued by Rani Holdings. This increases Rani Holdings’ ownership in Rani LLC.</w:t>
      </w:r>
    </w:p>
    <w:p>
      <w:pPr>
        <w:spacing w:after="0" w:line="3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2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stock option activity during the periods indicated is as follows:</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Number of 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9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10,225,433</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4,153,930</w:t>
            </w:r>
          </w:p>
        </w:tc>
        <w:tc>
          <w:tcPr>
            <w:tcW w:w="10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Canceled</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(890,169)</w:t>
            </w: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13,489,194</w:t>
            </w: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FF0FC"/>
            </w:tcBorders>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248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Exercisable at June 30, 2025</w:t>
            </w:r>
          </w:p>
        </w:tc>
        <w:tc>
          <w:tcPr>
            <w:tcW w:w="90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6,455,217</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gridSpan w:val="2"/>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6.54</w:t>
            </w:r>
          </w:p>
        </w:tc>
        <w:tc>
          <w:tcPr>
            <w:tcW w:w="1020" w:type="dxa"/>
            <w:vAlign w:val="bottom"/>
            <w:tcBorders>
              <w:bottom w:val="single" w:sz="8" w:color="CFF0FC"/>
            </w:tcBorders>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6.62</w:t>
            </w:r>
          </w:p>
        </w:tc>
        <w:tc>
          <w:tcPr>
            <w:tcW w:w="240" w:type="dxa"/>
            <w:vAlign w:val="bottom"/>
            <w:tcBorders>
              <w:bottom w:val="single" w:sz="8" w:color="CFF0FC"/>
            </w:tcBorders>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gridSpan w:val="2"/>
            <w:shd w:val="clear" w:color="auto" w:fill="CFF0FC"/>
          </w:tcPr>
          <w:p>
            <w:pPr>
              <w:ind w:left="6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Nonvested at June 30, 2025</w:t>
            </w:r>
          </w:p>
        </w:tc>
        <w:tc>
          <w:tcPr>
            <w:tcW w:w="9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7,033,977</w:t>
            </w:r>
          </w:p>
        </w:tc>
        <w:tc>
          <w:tcPr>
            <w:tcW w:w="100" w:type="dxa"/>
            <w:vAlign w:val="bottom"/>
          </w:tcPr>
          <w:p>
            <w:pPr>
              <w:spacing w:after="0"/>
              <w:rPr>
                <w:sz w:val="12"/>
                <w:szCs w:val="12"/>
                <w:color w:val="auto"/>
              </w:rPr>
            </w:pPr>
          </w:p>
        </w:tc>
        <w:tc>
          <w:tcPr>
            <w:tcW w:w="1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2.01</w:t>
            </w:r>
          </w:p>
        </w:tc>
        <w:tc>
          <w:tcPr>
            <w:tcW w:w="10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9.19</w:t>
            </w:r>
          </w:p>
        </w:tc>
        <w:tc>
          <w:tcPr>
            <w:tcW w:w="2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-394970</wp:posOffset>
            </wp:positionV>
            <wp:extent cx="406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-149225</wp:posOffset>
            </wp:positionV>
            <wp:extent cx="406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-135890</wp:posOffset>
            </wp:positionV>
            <wp:extent cx="4064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39" w:firstLine="701"/>
        <w:spacing w:after="0" w:line="292" w:lineRule="auto"/>
        <w:rPr>
          <w:sz w:val="20"/>
          <w:szCs w:val="20"/>
          <w:color w:val="auto"/>
        </w:rPr>
      </w:pPr>
      <w:r>
        <w:rPr>
          <w:rFonts w:ascii="Times New Roman" w:cs="Times New Roman" w:eastAsia="Times New Roman" w:hAnsi="Times New Roman"/>
          <w:sz w:val="14"/>
          <w:szCs w:val="14"/>
          <w:color w:val="auto"/>
        </w:rPr>
        <w:t>As of June 30, 2025, there was $12.9 million of unrecognized stock-based compensation expense related to stock options which is expected to be recognized over a weighted-average period of approximately 2.9 years.</w:t>
      </w:r>
    </w:p>
    <w:p>
      <w:pPr>
        <w:spacing w:after="0" w:line="124" w:lineRule="exact"/>
        <w:rPr>
          <w:sz w:val="20"/>
          <w:szCs w:val="20"/>
          <w:color w:val="auto"/>
        </w:rPr>
      </w:pPr>
    </w:p>
    <w:p>
      <w:pPr>
        <w:ind w:left="640" w:right="859" w:firstLine="701"/>
        <w:spacing w:after="0" w:line="292" w:lineRule="auto"/>
        <w:rPr>
          <w:sz w:val="20"/>
          <w:szCs w:val="20"/>
          <w:color w:val="auto"/>
        </w:rPr>
      </w:pPr>
      <w:r>
        <w:rPr>
          <w:rFonts w:ascii="Times New Roman" w:cs="Times New Roman" w:eastAsia="Times New Roman" w:hAnsi="Times New Roman"/>
          <w:sz w:val="14"/>
          <w:szCs w:val="14"/>
          <w:color w:val="auto"/>
        </w:rPr>
        <w:t>The Company uses the Black-Scholes option pricing model to estimate the fair value of each stock option award on the date of grant. The assumptions and estimates are as follows:</w:t>
      </w:r>
    </w:p>
    <w:p>
      <w:pPr>
        <w:spacing w:after="0" w:line="36" w:lineRule="exact"/>
        <w:rPr>
          <w:sz w:val="20"/>
          <w:szCs w:val="20"/>
          <w:color w:val="auto"/>
        </w:rPr>
      </w:pPr>
    </w:p>
    <w:p>
      <w:pPr>
        <w:ind w:left="1680" w:right="679" w:hanging="341"/>
        <w:spacing w:after="0" w:line="275"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 The expected term represents the period of time that stock option awards are expected to remain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The Company estimates the expected term as the midpoint between actual or expected vesting date and the contractual term.</w:t>
      </w:r>
    </w:p>
    <w:p>
      <w:pPr>
        <w:spacing w:after="0" w:line="48" w:lineRule="exact"/>
        <w:rPr>
          <w:rFonts w:ascii="Times New Roman" w:cs="Times New Roman" w:eastAsia="Times New Roman" w:hAnsi="Times New Roman"/>
          <w:sz w:val="14"/>
          <w:szCs w:val="14"/>
          <w:color w:val="auto"/>
        </w:rPr>
      </w:pPr>
    </w:p>
    <w:p>
      <w:pPr>
        <w:ind w:left="1680" w:right="679" w:hanging="341"/>
        <w:spacing w:after="0" w:line="275"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 The expected volatility was derived from the historical stock volatilities of peer 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within the Company's industry that are considered to be comparable businesses over a period equivalent to the expected term of the stock option awards, since there has been limited trading history of the Company's stock.</w:t>
      </w:r>
    </w:p>
    <w:p>
      <w:pPr>
        <w:spacing w:after="0" w:line="48" w:lineRule="exact"/>
        <w:rPr>
          <w:rFonts w:ascii="Times New Roman" w:cs="Times New Roman" w:eastAsia="Times New Roman" w:hAnsi="Times New Roman"/>
          <w:sz w:val="14"/>
          <w:szCs w:val="14"/>
          <w:color w:val="auto"/>
        </w:rPr>
      </w:pPr>
    </w:p>
    <w:p>
      <w:pPr>
        <w:ind w:left="1680" w:right="679" w:hanging="341"/>
        <w:spacing w:after="0" w:line="275"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is based on the U.S. Treasury yield curve in effect at the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 for zero-coupon U.S. Treasury notes with maturities approximately equal to the stock option awards’ expected term.</w:t>
      </w:r>
    </w:p>
    <w:p>
      <w:pPr>
        <w:spacing w:after="0" w:line="48" w:lineRule="exact"/>
        <w:rPr>
          <w:rFonts w:ascii="Times New Roman" w:cs="Times New Roman" w:eastAsia="Times New Roman" w:hAnsi="Times New Roman"/>
          <w:sz w:val="14"/>
          <w:szCs w:val="14"/>
          <w:color w:val="auto"/>
        </w:rPr>
      </w:pPr>
    </w:p>
    <w:p>
      <w:pPr>
        <w:ind w:left="1680" w:right="1079" w:hanging="341"/>
        <w:spacing w:after="0" w:line="295"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dividend yield </w:t>
      </w:r>
      <w:r>
        <w:rPr>
          <w:rFonts w:ascii="Times New Roman" w:cs="Times New Roman" w:eastAsia="Times New Roman" w:hAnsi="Times New Roman"/>
          <w:sz w:val="14"/>
          <w:szCs w:val="14"/>
          <w:color w:val="auto"/>
        </w:rPr>
        <w:t>- The expected dividend yield is zero as the Company has no plans to make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0" w:name="page21"/>
    <w:bookmarkEnd w:id="20"/>
    <w:p>
      <w:pPr>
        <w:ind w:left="640" w:right="7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weighted average assumptions used in estimating the fair value of stock option awards on the grant date:</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720" w:type="dxa"/>
            <w:vAlign w:val="bottom"/>
          </w:tcPr>
          <w:p>
            <w:pPr>
              <w:spacing w:after="0"/>
              <w:rPr>
                <w:sz w:val="11"/>
                <w:szCs w:val="11"/>
                <w:color w:val="auto"/>
              </w:rPr>
            </w:pPr>
          </w:p>
        </w:tc>
        <w:tc>
          <w:tcPr>
            <w:tcW w:w="15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60" w:type="dxa"/>
            <w:vAlign w:val="bottom"/>
          </w:tcPr>
          <w:p>
            <w:pPr>
              <w:spacing w:after="0"/>
              <w:rPr>
                <w:sz w:val="11"/>
                <w:szCs w:val="11"/>
                <w:color w:val="auto"/>
              </w:rPr>
            </w:pPr>
          </w:p>
        </w:tc>
      </w:tr>
      <w:tr>
        <w:trPr>
          <w:trHeight w:val="109"/>
        </w:trPr>
        <w:tc>
          <w:tcPr>
            <w:tcW w:w="4720" w:type="dxa"/>
            <w:vAlign w:val="bottom"/>
          </w:tcPr>
          <w:p>
            <w:pPr>
              <w:spacing w:after="0"/>
              <w:rPr>
                <w:sz w:val="9"/>
                <w:szCs w:val="9"/>
                <w:color w:val="auto"/>
              </w:rPr>
            </w:pPr>
          </w:p>
        </w:tc>
        <w:tc>
          <w:tcPr>
            <w:tcW w:w="1500" w:type="dxa"/>
            <w:vAlign w:val="bottom"/>
            <w:tcBorders>
              <w:bottom w:val="single" w:sz="8" w:color="auto"/>
            </w:tcBorders>
          </w:tcPr>
          <w:p>
            <w:pPr>
              <w:jc w:val="right"/>
              <w:ind w:right="57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9"/>
                <w:szCs w:val="9"/>
                <w:color w:val="auto"/>
              </w:rPr>
            </w:pPr>
          </w:p>
        </w:tc>
      </w:tr>
      <w:tr>
        <w:trPr>
          <w:trHeight w:val="16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3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shd w:val="clear" w:color="auto" w:fill="CFF0FC"/>
          </w:tcPr>
          <w:p>
            <w:pPr>
              <w:spacing w:after="0"/>
              <w:rPr>
                <w:sz w:val="14"/>
                <w:szCs w:val="14"/>
                <w:color w:val="auto"/>
              </w:rPr>
            </w:pPr>
          </w:p>
        </w:tc>
      </w:tr>
      <w:tr>
        <w:trPr>
          <w:trHeight w:val="186"/>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r>
    </w:tbl>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2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restricted stock unit (“RSU”) activity during the periods indicated is as follows:</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Number of Restricted</w:t>
            </w:r>
          </w:p>
        </w:tc>
        <w:tc>
          <w:tcPr>
            <w:tcW w:w="80" w:type="dxa"/>
            <w:vAlign w:val="bottom"/>
          </w:tcPr>
          <w:p>
            <w:pPr>
              <w:spacing w:after="0"/>
              <w:rPr>
                <w:sz w:val="11"/>
                <w:szCs w:val="1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r>
      <w:tr>
        <w:trPr>
          <w:trHeight w:val="137"/>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3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Date Fair Value per Share</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811,893</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(215,745)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(111,065)</w:t>
            </w:r>
          </w:p>
        </w:tc>
        <w:tc>
          <w:tcPr>
            <w:tcW w:w="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485,083</w:t>
            </w:r>
          </w:p>
        </w:tc>
        <w:tc>
          <w:tcPr>
            <w:tcW w:w="12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-135890</wp:posOffset>
            </wp:positionV>
            <wp:extent cx="4064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19" w:firstLine="701"/>
        <w:spacing w:after="0" w:line="274" w:lineRule="auto"/>
        <w:rPr>
          <w:sz w:val="20"/>
          <w:szCs w:val="20"/>
          <w:color w:val="auto"/>
        </w:rPr>
      </w:pPr>
      <w:r>
        <w:rPr>
          <w:rFonts w:ascii="Times New Roman" w:cs="Times New Roman" w:eastAsia="Times New Roman" w:hAnsi="Times New Roman"/>
          <w:sz w:val="14"/>
          <w:szCs w:val="14"/>
          <w:color w:val="auto"/>
        </w:rPr>
        <w:t>As of June 30, 2025, there was $2.9 million of unrecognized stock-based compensation expense related to RSUs which is expected to be recognized over a weighted-average period of approximately 1.6 years. The total fair value of RSUs vested was $0.1 million for the six months ended June 30, 2025.</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7" w:lineRule="exact"/>
        <w:rPr>
          <w:sz w:val="20"/>
          <w:szCs w:val="20"/>
          <w:color w:val="auto"/>
        </w:rPr>
      </w:pPr>
    </w:p>
    <w:p>
      <w:pPr>
        <w:ind w:left="640" w:right="819" w:firstLine="701"/>
        <w:spacing w:after="0" w:line="324" w:lineRule="auto"/>
        <w:rPr>
          <w:sz w:val="20"/>
          <w:szCs w:val="20"/>
          <w:color w:val="auto"/>
        </w:rPr>
      </w:pPr>
      <w:r>
        <w:rPr>
          <w:rFonts w:ascii="Times New Roman" w:cs="Times New Roman" w:eastAsia="Times New Roman" w:hAnsi="Times New Roman"/>
          <w:sz w:val="14"/>
          <w:szCs w:val="14"/>
          <w:color w:val="auto"/>
        </w:rPr>
        <w:t>The following table summarizes the components of stock-based compensation expense resulting from the grant of stock options, RSUs, RSAs, and the ESPP, recorded in the Company’s condensed consolidated statement of operations (in thousands):</w:t>
      </w:r>
    </w:p>
    <w:p>
      <w:pPr>
        <w:spacing w:after="0" w:line="9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Borders>
              <w:bottom w:val="single" w:sz="8" w:color="auto"/>
            </w:tcBorders>
          </w:tcPr>
          <w:p>
            <w:pPr>
              <w:jc w:val="right"/>
              <w:ind w:right="4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bottom w:val="single" w:sz="8" w:color="auto"/>
            </w:tcBorders>
          </w:tcPr>
          <w:p>
            <w:pPr>
              <w:jc w:val="right"/>
              <w:ind w:right="4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4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6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CFF0FC"/>
          </w:tcPr>
          <w:p>
            <w:pPr>
              <w:spacing w:after="0"/>
              <w:rPr>
                <w:sz w:val="14"/>
                <w:szCs w:val="14"/>
                <w:color w:val="auto"/>
              </w:rPr>
            </w:pPr>
          </w:p>
        </w:tc>
      </w:tr>
      <w:tr>
        <w:trPr>
          <w:trHeight w:val="172"/>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80" w:type="dxa"/>
            <w:vAlign w:val="bottom"/>
          </w:tcPr>
          <w:p>
            <w:pPr>
              <w:spacing w:after="0"/>
              <w:rPr>
                <w:sz w:val="14"/>
                <w:szCs w:val="14"/>
                <w:color w:val="auto"/>
              </w:rPr>
            </w:pPr>
          </w:p>
        </w:tc>
      </w:tr>
      <w:tr>
        <w:trPr>
          <w:trHeight w:val="183"/>
        </w:trPr>
        <w:tc>
          <w:tcPr>
            <w:tcW w:w="2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64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106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80" w:type="dxa"/>
            <w:vAlign w:val="bottom"/>
            <w:shd w:val="clear" w:color="auto" w:fill="CFF0FC"/>
          </w:tcPr>
          <w:p>
            <w:pPr>
              <w:spacing w:after="0"/>
              <w:rPr>
                <w:sz w:val="15"/>
                <w:szCs w:val="15"/>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-19685</wp:posOffset>
            </wp:positionV>
            <wp:extent cx="406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-6350</wp:posOffset>
            </wp:positionV>
            <wp:extent cx="4064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7" w:lineRule="exact"/>
        <w:rPr>
          <w:sz w:val="20"/>
          <w:szCs w:val="20"/>
          <w:color w:val="auto"/>
        </w:rPr>
      </w:pPr>
    </w:p>
    <w:p>
      <w:pPr>
        <w:ind w:left="640" w:right="779" w:firstLine="701"/>
        <w:spacing w:after="0" w:line="268"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779" w:firstLine="701"/>
        <w:spacing w:after="0" w:line="265" w:lineRule="auto"/>
        <w:rPr>
          <w:sz w:val="20"/>
          <w:szCs w:val="20"/>
          <w:color w:val="auto"/>
        </w:rPr>
      </w:pPr>
      <w:r>
        <w:rPr>
          <w:rFonts w:ascii="Times New Roman" w:cs="Times New Roman" w:eastAsia="Times New Roman" w:hAnsi="Times New Roman"/>
          <w:sz w:val="14"/>
          <w:szCs w:val="14"/>
          <w:color w:val="auto"/>
        </w:rPr>
        <w:t>The Company is party to a TRA with certain of the Continuing LLC Owners. As of June 30, 2025,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$23.4 million at June 30, 2025.</w:t>
      </w:r>
    </w:p>
    <w:p>
      <w:pPr>
        <w:spacing w:after="0" w:line="142" w:lineRule="exact"/>
        <w:rPr>
          <w:sz w:val="20"/>
          <w:szCs w:val="20"/>
          <w:color w:val="auto"/>
        </w:rPr>
      </w:pPr>
    </w:p>
    <w:p>
      <w:pPr>
        <w:ind w:left="640" w:right="719" w:firstLine="701"/>
        <w:spacing w:after="0" w:line="268" w:lineRule="auto"/>
        <w:rPr>
          <w:sz w:val="20"/>
          <w:szCs w:val="20"/>
          <w:color w:val="auto"/>
        </w:rPr>
      </w:pPr>
      <w:r>
        <w:rPr>
          <w:rFonts w:ascii="Times New Roman" w:cs="Times New Roman" w:eastAsia="Times New Roman" w:hAnsi="Times New Roman"/>
          <w:sz w:val="14"/>
          <w:szCs w:val="14"/>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color w:val="auto"/>
        </w:rPr>
        <w:t>13. Long-Term Debt</w:t>
      </w:r>
    </w:p>
    <w:p>
      <w:pPr>
        <w:spacing w:after="0" w:line="185"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purpose of the Loans is for general corporate purposes. In exchange for access to this facility, the Company agreed to issue warrants (Note 9).</w:t>
      </w:r>
    </w:p>
    <w:p>
      <w:pPr>
        <w:spacing w:after="0" w:line="144"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Pursuant to the Loan Agreement, the maturity date for the Loans is August 1, 2026. The Loan principal is repayable in equal monthly installments beginning September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June 30, 2025, the effective interest rate on the Loans was 14.58% and there were no events of default during the six months ended June 30, 2025.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June 30, 2025, the Company was in compliance with all applicable financial covenants under the Loan Agreement.</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As of June 30, 2025, future principal payments for the Company’s debt are as follows (in thousands):</w:t>
      </w:r>
    </w:p>
    <w:p>
      <w:pPr>
        <w:spacing w:after="0" w:line="197"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 (remaining six months)</w:t>
            </w: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4"/>
                <w:szCs w:val="14"/>
                <w:color w:val="auto"/>
              </w:rPr>
            </w:pPr>
          </w:p>
        </w:tc>
      </w:tr>
      <w:tr>
        <w:trPr>
          <w:trHeight w:val="172"/>
        </w:trPr>
        <w:tc>
          <w:tcPr>
            <w:tcW w:w="54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FF0FC"/>
          </w:tcPr>
          <w:p>
            <w:pPr>
              <w:spacing w:after="0"/>
              <w:rPr>
                <w:sz w:val="14"/>
                <w:szCs w:val="14"/>
                <w:color w:val="auto"/>
              </w:rPr>
            </w:pPr>
          </w:p>
        </w:tc>
      </w:tr>
      <w:tr>
        <w:trPr>
          <w:trHeight w:val="163"/>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principal payments</w:t>
            </w: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80" w:type="dxa"/>
            <w:vAlign w:val="bottom"/>
          </w:tcPr>
          <w:p>
            <w:pPr>
              <w:spacing w:after="0"/>
              <w:rPr>
                <w:sz w:val="14"/>
                <w:szCs w:val="14"/>
                <w:color w:val="auto"/>
              </w:rPr>
            </w:pPr>
          </w:p>
        </w:tc>
      </w:tr>
      <w:tr>
        <w:trPr>
          <w:trHeight w:val="172"/>
        </w:trPr>
        <w:tc>
          <w:tcPr>
            <w:tcW w:w="54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amount representing debt discount</w:t>
            </w:r>
          </w:p>
        </w:tc>
        <w:tc>
          <w:tcPr>
            <w:tcW w:w="3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(271)</w:t>
            </w:r>
          </w:p>
        </w:tc>
      </w:tr>
      <w:tr>
        <w:trPr>
          <w:trHeight w:val="20"/>
        </w:trPr>
        <w:tc>
          <w:tcPr>
            <w:tcW w:w="540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3"/>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17,229</w:t>
            </w:r>
          </w:p>
        </w:tc>
        <w:tc>
          <w:tcPr>
            <w:tcW w:w="80" w:type="dxa"/>
            <w:vAlign w:val="bottom"/>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5400" w:type="dxa"/>
            <w:vAlign w:val="bottom"/>
            <w:tcBorders>
              <w:bottom w:val="single" w:sz="8" w:color="CFF0FC"/>
              <w:right w:val="single" w:sz="8" w:color="CFF0FC"/>
            </w:tcBorders>
            <w:shd w:val="clear" w:color="auto" w:fill="CFF0FC"/>
          </w:tcPr>
          <w:p>
            <w:pPr>
              <w:ind w:left="140"/>
              <w:spacing w:after="0" w:line="144" w:lineRule="exact"/>
              <w:rPr>
                <w:sz w:val="20"/>
                <w:szCs w:val="20"/>
                <w:color w:val="auto"/>
              </w:rPr>
            </w:pPr>
            <w:r>
              <w:rPr>
                <w:rFonts w:ascii="Times New Roman" w:cs="Times New Roman" w:eastAsia="Times New Roman" w:hAnsi="Times New Roman"/>
                <w:sz w:val="14"/>
                <w:szCs w:val="14"/>
                <w:color w:val="auto"/>
              </w:rPr>
              <w:t>Less: current portion of long-term debt</w:t>
            </w:r>
          </w:p>
        </w:tc>
        <w:tc>
          <w:tcPr>
            <w:tcW w:w="3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63"/>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long-term debt, less current portion</w:t>
            </w: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-381000</wp:posOffset>
            </wp:positionV>
            <wp:extent cx="4064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-135890</wp:posOffset>
            </wp:positionV>
            <wp:extent cx="406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Income Taxes</w:t>
      </w:r>
    </w:p>
    <w:p>
      <w:pPr>
        <w:spacing w:after="0" w:line="185"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The Company’s effective income tax rate was zero for each of the six months ended June 30, 2025 and 2024. As a result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 There were no material changes to uncertain tax positions for the six months ended June 30, 2025 and 2024, and the Company does not anticipate material changes within the next twelve months.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color w:val="auto"/>
        </w:rPr>
        <w:t>15. Net Loss Per Share</w:t>
      </w:r>
    </w:p>
    <w:p>
      <w:pPr>
        <w:spacing w:after="0" w:line="185" w:lineRule="exact"/>
        <w:rPr>
          <w:sz w:val="20"/>
          <w:szCs w:val="20"/>
          <w:color w:val="auto"/>
        </w:rPr>
      </w:pPr>
    </w:p>
    <w:p>
      <w:pPr>
        <w:ind w:left="640" w:right="6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Class A common share attributable to Rani Holdings (in thousands, except per share data):</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720" w:type="dxa"/>
            <w:vAlign w:val="bottom"/>
            <w:gridSpan w:val="6"/>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00" w:type="dxa"/>
            <w:vAlign w:val="bottom"/>
          </w:tcPr>
          <w:p>
            <w:pPr>
              <w:spacing w:after="0"/>
              <w:rPr>
                <w:sz w:val="11"/>
                <w:szCs w:val="11"/>
                <w:color w:val="auto"/>
              </w:rPr>
            </w:pP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7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Net loss per Class A common share attributable to</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(6,692)</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(6,805)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(13,956) $</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(14,288)</w:t>
            </w:r>
          </w:p>
        </w:tc>
        <w:tc>
          <w:tcPr>
            <w:tcW w:w="0" w:type="dxa"/>
            <w:vAlign w:val="bottom"/>
          </w:tcPr>
          <w:p>
            <w:pPr>
              <w:spacing w:after="0"/>
              <w:rPr>
                <w:sz w:val="1"/>
                <w:szCs w:val="1"/>
                <w:color w:val="auto"/>
              </w:rPr>
            </w:pPr>
          </w:p>
        </w:tc>
      </w:tr>
      <w:tr>
        <w:trPr>
          <w:trHeight w:val="154"/>
        </w:trPr>
        <w:tc>
          <w:tcPr>
            <w:tcW w:w="3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Rani Therapeutics Holdings, Inc.</w:t>
            </w:r>
          </w:p>
        </w:tc>
        <w:tc>
          <w:tcPr>
            <w:tcW w:w="16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 average Class A common share</w:t>
            </w: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34,999</w:t>
            </w:r>
          </w:p>
        </w:tc>
        <w:tc>
          <w:tcPr>
            <w:tcW w:w="1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outstanding—basic and diluted*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Net loss per Class A common share attributable to</w:t>
            </w:r>
          </w:p>
        </w:tc>
        <w:tc>
          <w:tcPr>
            <w:tcW w:w="16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(0.40) $</w:t>
            </w:r>
          </w:p>
        </w:tc>
        <w:tc>
          <w:tcPr>
            <w:tcW w:w="6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Rani Therapeutics Holdings, Inc.—basic and diluted</w:t>
            </w:r>
          </w:p>
        </w:tc>
        <w:tc>
          <w:tcPr>
            <w:tcW w:w="160" w:type="dxa"/>
            <w:vAlign w:val="bottom"/>
            <w:vMerge w:val="continue"/>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74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-770255</wp:posOffset>
            </wp:positionV>
            <wp:extent cx="406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-770255</wp:posOffset>
            </wp:positionV>
            <wp:extent cx="406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-770255</wp:posOffset>
            </wp:positionV>
            <wp:extent cx="406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-770255</wp:posOffset>
            </wp:positionV>
            <wp:extent cx="4064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-19685</wp:posOffset>
            </wp:positionV>
            <wp:extent cx="406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-6350</wp:posOffset>
            </wp:positionV>
            <wp:extent cx="406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-19685</wp:posOffset>
            </wp:positionV>
            <wp:extent cx="4064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-6350</wp:posOffset>
            </wp:positionV>
            <wp:extent cx="4064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-19685</wp:posOffset>
            </wp:positionV>
            <wp:extent cx="4064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-6350</wp:posOffset>
            </wp:positionV>
            <wp:extent cx="406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9" w:lineRule="exact"/>
        <w:rPr>
          <w:sz w:val="20"/>
          <w:szCs w:val="20"/>
          <w:color w:val="auto"/>
        </w:rPr>
      </w:pPr>
    </w:p>
    <w:p>
      <w:pPr>
        <w:ind w:left="640" w:right="1079" w:firstLine="699"/>
        <w:spacing w:after="0" w:line="274" w:lineRule="auto"/>
        <w:tabs>
          <w:tab w:leader="none" w:pos="14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2025 and 2024, the Company had 1,161,000 and 0 Class A common shares, respectively, held in abeyance included in basic loss per share given that they are issuable for no additional consideration (see Note 9 – Warrants for additional details).</w:t>
      </w:r>
    </w:p>
    <w:p>
      <w:pPr>
        <w:spacing w:after="0" w:line="136" w:lineRule="exact"/>
        <w:rPr>
          <w:sz w:val="20"/>
          <w:szCs w:val="20"/>
          <w:color w:val="auto"/>
        </w:rPr>
      </w:pPr>
    </w:p>
    <w:p>
      <w:pPr>
        <w:ind w:left="640" w:right="111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shows the total outstanding securities considered anti-dilutive and therefore excluded from the computation of diluted net loss per Class A common share attributable to Rani Holdings (in thousands):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340" w:type="dxa"/>
            <w:vAlign w:val="bottom"/>
          </w:tcPr>
          <w:p>
            <w:pPr>
              <w:spacing w:after="0"/>
              <w:rPr>
                <w:sz w:val="11"/>
                <w:szCs w:val="11"/>
                <w:color w:val="auto"/>
              </w:rPr>
            </w:pPr>
          </w:p>
        </w:tc>
        <w:tc>
          <w:tcPr>
            <w:tcW w:w="14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4340" w:type="dxa"/>
            <w:vAlign w:val="bottom"/>
          </w:tcPr>
          <w:p>
            <w:pPr>
              <w:spacing w:after="0"/>
              <w:rPr>
                <w:sz w:val="9"/>
                <w:szCs w:val="9"/>
                <w:color w:val="auto"/>
              </w:rPr>
            </w:pPr>
          </w:p>
        </w:tc>
        <w:tc>
          <w:tcPr>
            <w:tcW w:w="1040" w:type="dxa"/>
            <w:vAlign w:val="bottom"/>
            <w:tcBorders>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Paired Interests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23,970</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80" w:type="dxa"/>
            <w:vAlign w:val="bottom"/>
            <w:shd w:val="clear" w:color="auto" w:fill="CFF0FC"/>
          </w:tcPr>
          <w:p>
            <w:pPr>
              <w:spacing w:after="0"/>
              <w:rPr>
                <w:sz w:val="14"/>
                <w:szCs w:val="14"/>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13,489</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10,536</w:t>
            </w:r>
          </w:p>
        </w:tc>
        <w:tc>
          <w:tcPr>
            <w:tcW w:w="80" w:type="dxa"/>
            <w:vAlign w:val="bottom"/>
          </w:tcPr>
          <w:p>
            <w:pPr>
              <w:spacing w:after="0"/>
              <w:rPr>
                <w:sz w:val="14"/>
                <w:szCs w:val="14"/>
                <w:color w:val="auto"/>
              </w:rPr>
            </w:pPr>
          </w:p>
        </w:tc>
      </w:tr>
      <w:tr>
        <w:trPr>
          <w:trHeight w:val="17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13,537</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FF0FC"/>
          </w:tcPr>
          <w:p>
            <w:pPr>
              <w:spacing w:after="0"/>
              <w:rPr>
                <w:sz w:val="14"/>
                <w:szCs w:val="14"/>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Non-corresponding Class A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Pr>
          <w:p>
            <w:pPr>
              <w:spacing w:after="0"/>
              <w:rPr>
                <w:sz w:val="14"/>
                <w:szCs w:val="14"/>
                <w:color w:val="auto"/>
              </w:rPr>
            </w:pPr>
          </w:p>
        </w:tc>
      </w:tr>
      <w:tr>
        <w:trPr>
          <w:trHeight w:val="17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FF0FC"/>
          </w:tcPr>
          <w:p>
            <w:pPr>
              <w:spacing w:after="0"/>
              <w:rPr>
                <w:sz w:val="14"/>
                <w:szCs w:val="14"/>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r>
      <w:tr>
        <w:trPr>
          <w:trHeight w:val="17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46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4"/>
                <w:szCs w:val="14"/>
                <w:color w:val="auto"/>
              </w:rPr>
            </w:pPr>
          </w:p>
        </w:tc>
      </w:tr>
      <w:tr>
        <w:trPr>
          <w:trHeight w:val="163"/>
        </w:trPr>
        <w:tc>
          <w:tcPr>
            <w:tcW w:w="4340" w:type="dxa"/>
            <w:vAlign w:val="bottom"/>
            <w:tcBorders>
              <w:top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52,661</w:t>
            </w:r>
          </w:p>
        </w:tc>
        <w:tc>
          <w:tcPr>
            <w:tcW w:w="6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37,033</w:t>
            </w:r>
          </w:p>
        </w:tc>
        <w:tc>
          <w:tcPr>
            <w:tcW w:w="80" w:type="dxa"/>
            <w:vAlign w:val="bottom"/>
            <w:tcBorders>
              <w:top w:val="single" w:sz="8" w:color="CFF0FC"/>
            </w:tcBorders>
          </w:tcPr>
          <w:p>
            <w:pPr>
              <w:spacing w:after="0"/>
              <w:rPr>
                <w:sz w:val="14"/>
                <w:szCs w:val="14"/>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-135890</wp:posOffset>
            </wp:positionV>
            <wp:extent cx="4064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-135890</wp:posOffset>
            </wp:positionV>
            <wp:extent cx="4064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19" w:firstLine="701"/>
        <w:spacing w:after="0" w:line="268" w:lineRule="auto"/>
        <w:rPr>
          <w:sz w:val="20"/>
          <w:szCs w:val="20"/>
          <w:color w:val="auto"/>
        </w:rPr>
      </w:pPr>
      <w:r>
        <w:rPr>
          <w:rFonts w:ascii="Times New Roman" w:cs="Times New Roman" w:eastAsia="Times New Roman" w:hAnsi="Times New Roman"/>
          <w:sz w:val="14"/>
          <w:szCs w:val="14"/>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six months ended June 30, 2025. Therefore, they are not included in the computation of net loss per Class A common share attributable to Rani Therapeutics Holdings, Inc.</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Securities Purchase Agreement</w:t>
      </w:r>
    </w:p>
    <w:p>
      <w:pPr>
        <w:spacing w:after="0" w:line="187" w:lineRule="exact"/>
        <w:rPr>
          <w:sz w:val="20"/>
          <w:szCs w:val="20"/>
          <w:color w:val="auto"/>
        </w:rPr>
      </w:pPr>
    </w:p>
    <w:p>
      <w:pPr>
        <w:ind w:left="640" w:right="719" w:firstLine="701"/>
        <w:spacing w:after="0" w:line="263" w:lineRule="auto"/>
        <w:rPr>
          <w:sz w:val="20"/>
          <w:szCs w:val="20"/>
          <w:color w:val="auto"/>
        </w:rPr>
      </w:pPr>
      <w:r>
        <w:rPr>
          <w:rFonts w:ascii="Times New Roman" w:cs="Times New Roman" w:eastAsia="Times New Roman" w:hAnsi="Times New Roman"/>
          <w:sz w:val="14"/>
          <w:szCs w:val="14"/>
          <w:color w:val="auto"/>
        </w:rPr>
        <w:t>In July 2025, the Company entered into a securities purchase agreement, or the Purchase Agreement, with an institutional investor, relating to the issuance and sale of 4,354,000 shares of Class A common stock, par value $0.0001 per share, and pre-funded warrants to purchase 3,146,000 shares of Class A common stock. The pre-funded warrants are exercisable immediately following the closing date of the Offering and have an unlimited term and an exercise price of $0.0001 per share. The Offering price was $0.40 per share of Class A common stock, and $0.3999 per pre-funded warrant for total gross proceeds of $3.0 million. After closing the Offering the institutional investor fully exercised all pre-funded warrants.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67"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i w:val="1"/>
          <w:iCs w:val="1"/>
          <w:color w:val="auto"/>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2024,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in our Annual Report on Form 10-K for the year ended December 31, 2024. Please also see the section titled “Forward Looking Statements.”</w:t>
      </w:r>
    </w:p>
    <w:p>
      <w:pPr>
        <w:spacing w:after="0" w:line="143" w:lineRule="exact"/>
        <w:rPr>
          <w:sz w:val="20"/>
          <w:szCs w:val="20"/>
          <w:color w:val="auto"/>
        </w:rPr>
      </w:pPr>
    </w:p>
    <w:p>
      <w:pPr>
        <w:ind w:left="640" w:right="839" w:firstLine="701"/>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calendar year 2024 and the three and six months ended June 30, 2025 and 2024, respectively, which represents the condensed consolidated financial results of Rani Therapeutics Holdings, Inc. (the "Company") and its subsidiary, Rani Therapeutics, LLC (“Rani LLC”) for the year ended December 31, 2024 and the three and six months ended June 30, 2025 and 2024, respectively. Unless we state otherwise or the context otherwise requires, the terms “we,” “us,” “our,” and “Rani” and similar references refers to the Company and its consolidated subsidiary.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640" w:right="779" w:firstLine="701"/>
        <w:spacing w:after="0" w:line="268" w:lineRule="auto"/>
        <w:rPr>
          <w:sz w:val="20"/>
          <w:szCs w:val="20"/>
          <w:color w:val="auto"/>
        </w:rPr>
      </w:pPr>
      <w:r>
        <w:rPr>
          <w:rFonts w:ascii="Times New Roman" w:cs="Times New Roman" w:eastAsia="Times New Roman" w:hAnsi="Times New Roman"/>
          <w:sz w:val="14"/>
          <w:szCs w:val="14"/>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40" w:lineRule="exact"/>
        <w:rPr>
          <w:sz w:val="20"/>
          <w:szCs w:val="20"/>
          <w:color w:val="auto"/>
        </w:rPr>
      </w:pPr>
    </w:p>
    <w:p>
      <w:pPr>
        <w:ind w:left="640" w:right="639" w:firstLine="701"/>
        <w:spacing w:after="0" w:line="266" w:lineRule="auto"/>
        <w:rPr>
          <w:sz w:val="20"/>
          <w:szCs w:val="20"/>
          <w:color w:val="auto"/>
        </w:rPr>
      </w:pPr>
      <w:r>
        <w:rPr>
          <w:rFonts w:ascii="Times New Roman" w:cs="Times New Roman" w:eastAsia="Times New Roman" w:hAnsi="Times New Roman"/>
          <w:sz w:val="14"/>
          <w:szCs w:val="14"/>
          <w:color w:val="auto"/>
        </w:rPr>
        <w:t>Our technology comprises a drug-agnostic oral delivery platform, the RaniPill capsule, which is designed to deliver a wide variety of drug substances, including antibodies, proteins, peptides, and oligonucleotides. We have two configurations of the platform</w:t>
      </w:r>
    </w:p>
    <w:p>
      <w:pPr>
        <w:spacing w:after="0" w:line="1" w:lineRule="exact"/>
        <w:rPr>
          <w:sz w:val="20"/>
          <w:szCs w:val="20"/>
          <w:color w:val="auto"/>
        </w:rPr>
      </w:pPr>
    </w:p>
    <w:p>
      <w:pPr>
        <w:ind w:left="640" w:right="699"/>
        <w:spacing w:after="0" w:line="260" w:lineRule="auto"/>
        <w:rPr>
          <w:sz w:val="20"/>
          <w:szCs w:val="20"/>
          <w:color w:val="auto"/>
        </w:rPr>
      </w:pPr>
      <w:r>
        <w:rPr>
          <w:rFonts w:ascii="Times New Roman" w:cs="Times New Roman" w:eastAsia="Times New Roman" w:hAnsi="Times New Roman"/>
          <w:sz w:val="14"/>
          <w:szCs w:val="14"/>
          <w:color w:val="auto"/>
        </w:rPr>
        <w:t>–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2025.</w:t>
      </w:r>
    </w:p>
    <w:p>
      <w:pPr>
        <w:spacing w:after="0" w:line="145" w:lineRule="exact"/>
        <w:rPr>
          <w:sz w:val="20"/>
          <w:szCs w:val="20"/>
          <w:color w:val="auto"/>
        </w:rPr>
      </w:pPr>
    </w:p>
    <w:p>
      <w:pPr>
        <w:ind w:left="640" w:right="1099" w:firstLine="701"/>
        <w:spacing w:after="0" w:line="292" w:lineRule="auto"/>
        <w:rPr>
          <w:sz w:val="20"/>
          <w:szCs w:val="20"/>
          <w:color w:val="auto"/>
        </w:rPr>
      </w:pPr>
      <w:r>
        <w:rPr>
          <w:rFonts w:ascii="Times New Roman" w:cs="Times New Roman" w:eastAsia="Times New Roman" w:hAnsi="Times New Roman"/>
          <w:sz w:val="14"/>
          <w:szCs w:val="14"/>
          <w:color w:val="auto"/>
        </w:rPr>
        <w:t>We believe, the RaniPill capsule technology could enable us to deliver most biologics currently on the market with convenient, oral dosing.</w:t>
      </w:r>
    </w:p>
    <w:p>
      <w:pPr>
        <w:spacing w:after="0" w:line="124"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146"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RaniPill capsule. Design work, prototyping and pilot manufacturing are performed in 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4" w:name="page25"/>
    <w:bookmarkEnd w:id="24"/>
    <w:p>
      <w:pPr>
        <w:ind w:left="640" w:right="799"/>
        <w:spacing w:after="0" w:line="292" w:lineRule="auto"/>
        <w:rPr>
          <w:sz w:val="20"/>
          <w:szCs w:val="20"/>
          <w:color w:val="auto"/>
        </w:rPr>
      </w:pPr>
      <w:r>
        <w:rPr>
          <w:rFonts w:ascii="Times New Roman" w:cs="Times New Roman" w:eastAsia="Times New Roman" w:hAnsi="Times New Roman"/>
          <w:sz w:val="14"/>
          <w:szCs w:val="14"/>
          <w:color w:val="auto"/>
        </w:rPr>
        <w:t>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Financial Update</w:t>
      </w:r>
    </w:p>
    <w:p>
      <w:pPr>
        <w:spacing w:after="0" w:line="187" w:lineRule="exact"/>
        <w:rPr>
          <w:sz w:val="20"/>
          <w:szCs w:val="20"/>
          <w:color w:val="auto"/>
        </w:rPr>
      </w:pPr>
    </w:p>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In May 2025, we entered into a letter agreement (the “Letter Agreement”) with an existing institutional investor (the “Equity Investor”) pursuant to which the Equity Investor exercised for cash all outstanding Series B and Series C warrants held by such Equity Investor at a reduced exercise price of $0.65 per share, for net proceeds of $3.9 million, in consideration for the issuance of a new Series D common stock warrant (the “Series D Warrant”) to purchase an aggregate of 13,160,172 shares of Class A common stock, $0.0001 par value per share (the “Class A Common Stock”).</w:t>
      </w:r>
    </w:p>
    <w:p>
      <w:pPr>
        <w:spacing w:after="0" w:line="142" w:lineRule="exact"/>
        <w:rPr>
          <w:sz w:val="20"/>
          <w:szCs w:val="20"/>
          <w:color w:val="auto"/>
        </w:rPr>
      </w:pPr>
    </w:p>
    <w:p>
      <w:pPr>
        <w:ind w:left="640" w:right="739" w:firstLine="701"/>
        <w:spacing w:after="0" w:line="263" w:lineRule="auto"/>
        <w:rPr>
          <w:sz w:val="20"/>
          <w:szCs w:val="20"/>
          <w:color w:val="auto"/>
        </w:rPr>
      </w:pPr>
      <w:r>
        <w:rPr>
          <w:rFonts w:ascii="Times New Roman" w:cs="Times New Roman" w:eastAsia="Times New Roman" w:hAnsi="Times New Roman"/>
          <w:sz w:val="14"/>
          <w:szCs w:val="14"/>
          <w:color w:val="auto"/>
        </w:rPr>
        <w:t>In July 2025, we entered into a securities purchase agreement, or the Purchase Agreement, with an institutional investor, relating to the issuance and sale of 4,354,000 shares of Class A common stock, par value $0.0001 per share, and pre-funded warrants to purchase 3,146,000 shares of Class A common stock (the “Offering”). The pre-funded warrants were exercisable immediately following the closing date of the Offering and have an unlimited term and an exercise price of $0.0001 per share. The Offering price was $0.40 per share of Class A common stock, and $0.3999 per pre-funded warrant for total gross proceeds of $3.0 million. After the closing the Offering, the institutional investor fully exercised all pre-funded warrants.</w:t>
      </w:r>
    </w:p>
    <w:p>
      <w:pPr>
        <w:spacing w:after="0" w:line="144"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As of June 30, 2025, our cash, cash equivalents and marketable securities totaled $10.2 million (not including the proceeds from the Offering). 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the Offering,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strategic transactions or other arrangements with other companies, or through other sources of financing. If we are not able to obtain additional financing as discussed above, or if we are unable to meet our obligations as they become due, we may need to file a voluntary petition for relief under the United States Bankruptcy Code in order to implement a restructuring plan or liquidation.</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Nasdaq Listing Update</w:t>
      </w:r>
    </w:p>
    <w:p>
      <w:pPr>
        <w:spacing w:after="0" w:line="187"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On June 20, 2025, we received a notice from Nasdaq that we no longer comply with the minimum bid price requirement for continued listing on The Nasdaq Global Market. Nasdaq Listing Rule 5450(a)(1) requires listed securities to maintain a minimum bid price of $1.00 per share (the “Minimum Bid Price Requirement”). On May 1, 2025, we received a notice from Nasdaq of the deficiency with regard to The Nasdaq Listing Rule 5450(b)(2)(A), which requires a company whose securities are listed on The Nasdaq Global Market under the “Market Value Standard” to maintain a minimum Market Value of Listed Securities (an “MVLS”) of $50,000,000. For additional information please see Risk Factor titled “</w:t>
      </w:r>
      <w:r>
        <w:rPr>
          <w:rFonts w:ascii="Times New Roman" w:cs="Times New Roman" w:eastAsia="Times New Roman" w:hAnsi="Times New Roman"/>
          <w:sz w:val="14"/>
          <w:szCs w:val="14"/>
          <w:i w:val="1"/>
          <w:iCs w:val="1"/>
          <w:color w:val="auto"/>
        </w:rPr>
        <w:t>We do not currently meet the requirements for continued listing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on The Nasdaq Global Market. If we fail to meet the requirements for continued listing on The Nasdaq Global Market, trading in our common stock could be suspended and our common stock delisted from Nasdaq, which would have a negative effect on the price of our common stock and our ability to raise additional capital.”</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Preclinical Update</w:t>
      </w:r>
    </w:p>
    <w:p>
      <w:pPr>
        <w:spacing w:after="0" w:line="187" w:lineRule="exact"/>
        <w:rPr>
          <w:sz w:val="20"/>
          <w:szCs w:val="20"/>
          <w:color w:val="auto"/>
        </w:rPr>
      </w:pPr>
    </w:p>
    <w:p>
      <w:pPr>
        <w:ind w:left="640" w:right="979" w:firstLine="701"/>
        <w:spacing w:after="0" w:line="274" w:lineRule="auto"/>
        <w:rPr>
          <w:sz w:val="20"/>
          <w:szCs w:val="20"/>
          <w:color w:val="auto"/>
        </w:rPr>
      </w:pPr>
      <w:r>
        <w:rPr>
          <w:rFonts w:ascii="Times New Roman" w:cs="Times New Roman" w:eastAsia="Times New Roman" w:hAnsi="Times New Roman"/>
          <w:sz w:val="14"/>
          <w:szCs w:val="14"/>
          <w:color w:val="auto"/>
        </w:rPr>
        <w:t>In May 2025, we announced that we have entered a Research Collaboration in August 2024 for two molecules with undisclosed targets provided by Chugai Pharmaceutical Co., Ltd. The full analysis confirms the RaniPill® delivery demonstrated comparable bioavailability to the subcutaneous route of delivery for both molecules studied.</w:t>
      </w:r>
    </w:p>
    <w:p>
      <w:pPr>
        <w:spacing w:after="0" w:line="136" w:lineRule="exact"/>
        <w:rPr>
          <w:sz w:val="20"/>
          <w:szCs w:val="20"/>
          <w:color w:val="auto"/>
        </w:rPr>
      </w:pPr>
    </w:p>
    <w:p>
      <w:pPr>
        <w:ind w:left="640" w:right="699" w:firstLine="701"/>
        <w:spacing w:after="0" w:line="261" w:lineRule="auto"/>
        <w:rPr>
          <w:sz w:val="20"/>
          <w:szCs w:val="20"/>
          <w:color w:val="auto"/>
        </w:rPr>
      </w:pPr>
      <w:r>
        <w:rPr>
          <w:rFonts w:ascii="Times New Roman" w:cs="Times New Roman" w:eastAsia="Times New Roman" w:hAnsi="Times New Roman"/>
          <w:sz w:val="14"/>
          <w:szCs w:val="14"/>
          <w:color w:val="auto"/>
        </w:rPr>
        <w:t>In March 2025, we announced preclinical data demonstrating bioequivalence of RT-114, a bispecific GLP-1/GLP-2 receptor agonist (PG-102) delivered orally via the RaniPill capsule (“RT-114”), to subcutaneously administered PG-102. RT-114 yielded a relative bioavailability of 111% compared to PG-102 delivered subcutaneously with comparable pharmacokinetic profiles and weight loss. RT-114 was well tolerated and was excreted without sequelae in all subjects. Average peak weight loss was the same in both groups with greater variability with subcutaneous dosing (6.7% ± 0.5% for RT-114 and 6.7% ± 2.2% for subcutaneous PG-102). In July 2025, the same set of data was presented at the ENDO conference in San Francisco, California. Collectively, these compelling nonclinical results provide a robust rationale for initiating clinical development of RT-114 as a first-in-class oral anti-obesity therapy.</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5" w:name="page26"/>
    <w:bookmarkEnd w:id="25"/>
    <w:p>
      <w:pPr>
        <w:ind w:left="640" w:right="859" w:firstLine="701"/>
        <w:spacing w:after="0" w:line="268" w:lineRule="auto"/>
        <w:rPr>
          <w:sz w:val="20"/>
          <w:szCs w:val="20"/>
          <w:color w:val="auto"/>
        </w:rPr>
      </w:pPr>
      <w:r>
        <w:rPr>
          <w:rFonts w:ascii="Times New Roman" w:cs="Times New Roman" w:eastAsia="Times New Roman" w:hAnsi="Times New Roman"/>
          <w:sz w:val="14"/>
          <w:szCs w:val="14"/>
          <w:color w:val="auto"/>
        </w:rPr>
        <w:t>In February 2025, we announced preclinical data demonstrating successful oral delivery of the glucagon-like peptide-1 receptor (“GLP-1”) agonist semaglutide via the RaniPill HC (“RT-116”). In the study, RT-116 demonstrated comparable bioavailability, pharmacokinetics and weight loss to subcutaneous (“SC”) administration of semaglutide. Further, RT-116 was well tolerated with no serious adverse events.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Relationship with InCube Labs, LLC</w:t>
      </w:r>
    </w:p>
    <w:p>
      <w:pPr>
        <w:spacing w:after="0" w:line="185"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See Note 7 to the condensed consolidated financial statements contained in Part I, Item 1 of this Quarterly Report on Form 10-Q for additional information.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5" w:lineRule="exact"/>
        <w:rPr>
          <w:sz w:val="20"/>
          <w:szCs w:val="20"/>
          <w:color w:val="auto"/>
        </w:rPr>
      </w:pPr>
    </w:p>
    <w:p>
      <w:pPr>
        <w:ind w:left="640" w:right="779" w:firstLine="701"/>
        <w:spacing w:after="0" w:line="265" w:lineRule="auto"/>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2025 and 2024</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3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7"/>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r>
      <w:tr>
        <w:trPr>
          <w:trHeight w:val="109"/>
        </w:trPr>
        <w:tc>
          <w:tcPr>
            <w:tcW w:w="382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92"/>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220" w:type="dxa"/>
            <w:vAlign w:val="bottom"/>
          </w:tcPr>
          <w:p>
            <w:pPr>
              <w:spacing w:after="0"/>
              <w:rPr>
                <w:sz w:val="9"/>
                <w:szCs w:val="9"/>
                <w:color w:val="auto"/>
              </w:rPr>
            </w:pPr>
          </w:p>
        </w:tc>
      </w:tr>
      <w:tr>
        <w:trPr>
          <w:trHeight w:val="16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172"/>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r>
      <w:tr>
        <w:trPr>
          <w:trHeight w:val="172"/>
        </w:trPr>
        <w:tc>
          <w:tcPr>
            <w:tcW w:w="3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r>
      <w:tr>
        <w:trPr>
          <w:trHeight w:val="163"/>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16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w:t>
            </w: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3"/>
        </w:trPr>
        <w:tc>
          <w:tcPr>
            <w:tcW w:w="38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(10,505)</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(12,524)</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(16.1)%</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2"/>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(64.0)%</w:t>
            </w:r>
          </w:p>
        </w:tc>
      </w:tr>
      <w:tr>
        <w:trPr>
          <w:trHeight w:val="172"/>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(877)</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(31.3)%</w:t>
            </w: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(11,224)</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(13,361)</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(16.0)%</w:t>
            </w:r>
          </w:p>
        </w:tc>
      </w:tr>
      <w:tr>
        <w:trPr>
          <w:trHeight w:val="172"/>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(4,532)</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(6,556)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(30.9) %</w:t>
            </w: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(6,692)</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(6,805)</w:t>
            </w:r>
          </w:p>
        </w:tc>
        <w:tc>
          <w:tcPr>
            <w:tcW w:w="920" w:type="dxa"/>
            <w:vAlign w:val="bottom"/>
            <w:gridSpan w:val="2"/>
            <w:shd w:val="clear" w:color="auto" w:fill="CFF0FC"/>
          </w:tcPr>
          <w:p>
            <w:pPr>
              <w:jc w:val="right"/>
              <w:ind w:right="40"/>
              <w:spacing w:after="0" w:line="163" w:lineRule="exact"/>
              <w:rPr>
                <w:sz w:val="20"/>
                <w:szCs w:val="20"/>
                <w:color w:val="auto"/>
              </w:rPr>
            </w:pPr>
            <w:r>
              <w:rPr>
                <w:rFonts w:ascii="Times New Roman" w:cs="Times New Roman" w:eastAsia="Times New Roman" w:hAnsi="Times New Roman"/>
                <w:sz w:val="11"/>
                <w:szCs w:val="11"/>
                <w:color w:val="auto"/>
              </w:rPr>
              <w:t xml:space="preserve">(1.7) </w:t>
            </w:r>
            <w:r>
              <w:rPr>
                <w:rFonts w:ascii="Times New Roman" w:cs="Times New Roman" w:eastAsia="Times New Roman" w:hAnsi="Times New Roman"/>
                <w:sz w:val="18"/>
                <w:szCs w:val="18"/>
                <w:color w:val="auto"/>
                <w:vertAlign w:val="subscript"/>
              </w:rPr>
              <w:t>%</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-920115</wp:posOffset>
            </wp:positionV>
            <wp:extent cx="4064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-920115</wp:posOffset>
            </wp:positionV>
            <wp:extent cx="4064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-19685</wp:posOffset>
            </wp:positionV>
            <wp:extent cx="4064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-6350</wp:posOffset>
            </wp:positionV>
            <wp:extent cx="4064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-19685</wp:posOffset>
            </wp:positionV>
            <wp:extent cx="4064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-6350</wp:posOffset>
            </wp:positionV>
            <wp:extent cx="4064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-19685</wp:posOffset>
            </wp:positionV>
            <wp:extent cx="4064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-6350</wp:posOffset>
            </wp:positionV>
            <wp:extent cx="4064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2080" w:type="dxa"/>
            <w:vAlign w:val="bottom"/>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r>
      <w:tr>
        <w:trPr>
          <w:trHeight w:val="109"/>
        </w:trPr>
        <w:tc>
          <w:tcPr>
            <w:tcW w:w="45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580" w:type="dxa"/>
            <w:vAlign w:val="bottom"/>
            <w:shd w:val="clear" w:color="auto" w:fill="CFF0FC"/>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auto"/>
            </w:tcBorders>
            <w:shd w:val="clear" w:color="auto" w:fill="CFF0FC"/>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The decrease of $0.6 million in research and development expenses in the three months ended June 30, 2025, as compared to the same period in 2024, was primarily attributed to lower compensation costs of $0.6 million.</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640" w:right="999" w:firstLine="701"/>
        <w:spacing w:after="0" w:line="274" w:lineRule="auto"/>
        <w:rPr>
          <w:sz w:val="20"/>
          <w:szCs w:val="20"/>
          <w:color w:val="auto"/>
        </w:rPr>
      </w:pPr>
      <w:r>
        <w:rPr>
          <w:rFonts w:ascii="Times New Roman" w:cs="Times New Roman" w:eastAsia="Times New Roman" w:hAnsi="Times New Roman"/>
          <w:sz w:val="14"/>
          <w:szCs w:val="14"/>
          <w:color w:val="auto"/>
        </w:rPr>
        <w:t>The decrease of $1.4 million in general and administrative expenses in the three months ended June 30, 2025, as compared to the same period in 2024, was primarily attributed to lower compensation costs of $0.5 million and reduction of $0.6 million in third-party services and $0.3 million in other services.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ind w:left="640" w:right="839" w:firstLine="701"/>
        <w:spacing w:after="0" w:line="292" w:lineRule="auto"/>
        <w:rPr>
          <w:sz w:val="20"/>
          <w:szCs w:val="20"/>
          <w:color w:val="auto"/>
        </w:rPr>
      </w:pPr>
      <w:r>
        <w:rPr>
          <w:rFonts w:ascii="Times New Roman" w:cs="Times New Roman" w:eastAsia="Times New Roman" w:hAnsi="Times New Roman"/>
          <w:sz w:val="14"/>
          <w:szCs w:val="14"/>
          <w:color w:val="auto"/>
        </w:rPr>
        <w:t>The change in other income (expense), net, in the three months ended June 30, 2025, as compared to the same period in 2024, was de minimis.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June 30, 2025 and 2024</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revenue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12,075</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10,615</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22,690</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26,557</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(22,518)</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(26,557)</w:t>
            </w: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(1,819)</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(2,571)</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(23,962)</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(28,140)</w:t>
            </w: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(10,006)</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(13,852)</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(27.8)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(13,956)</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(14,288)</w:t>
            </w:r>
          </w:p>
        </w:tc>
        <w:tc>
          <w:tcPr>
            <w:tcW w:w="140" w:type="dxa"/>
            <w:vAlign w:val="bottom"/>
          </w:tcPr>
          <w:p>
            <w:pPr>
              <w:spacing w:after="0"/>
              <w:rPr>
                <w:sz w:val="14"/>
                <w:szCs w:val="14"/>
                <w:color w:val="auto"/>
              </w:rPr>
            </w:pPr>
          </w:p>
        </w:tc>
        <w:tc>
          <w:tcPr>
            <w:tcW w:w="780" w:type="dxa"/>
            <w:vAlign w:val="bottom"/>
            <w:gridSpan w:val="2"/>
          </w:tcPr>
          <w:p>
            <w:pPr>
              <w:jc w:val="right"/>
              <w:ind w:right="40"/>
              <w:spacing w:after="0" w:line="163" w:lineRule="exact"/>
              <w:rPr>
                <w:sz w:val="20"/>
                <w:szCs w:val="20"/>
                <w:color w:val="auto"/>
              </w:rPr>
            </w:pPr>
            <w:r>
              <w:rPr>
                <w:rFonts w:ascii="Times New Roman" w:cs="Times New Roman" w:eastAsia="Times New Roman" w:hAnsi="Times New Roman"/>
                <w:sz w:val="11"/>
                <w:szCs w:val="11"/>
                <w:color w:val="auto"/>
              </w:rPr>
              <w:t xml:space="preserve">(2.3)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-932815</wp:posOffset>
            </wp:positionV>
            <wp:extent cx="66040" cy="147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-932815</wp:posOffset>
            </wp:positionV>
            <wp:extent cx="66040" cy="147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-360680</wp:posOffset>
            </wp:positionV>
            <wp:extent cx="4064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-360680</wp:posOffset>
            </wp:positionV>
            <wp:extent cx="4064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-135890</wp:posOffset>
            </wp:positionV>
            <wp:extent cx="4064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-135890</wp:posOffset>
            </wp:positionV>
            <wp:extent cx="4064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-135890</wp:posOffset>
            </wp:positionV>
            <wp:extent cx="4064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Contract Revenue</w:t>
      </w:r>
    </w:p>
    <w:p>
      <w:pPr>
        <w:spacing w:after="0" w:line="185" w:lineRule="exact"/>
        <w:rPr>
          <w:sz w:val="20"/>
          <w:szCs w:val="20"/>
          <w:color w:val="auto"/>
        </w:rPr>
      </w:pPr>
    </w:p>
    <w:p>
      <w:pPr>
        <w:jc w:val="both"/>
        <w:ind w:left="640" w:right="1259" w:firstLine="701"/>
        <w:spacing w:after="0" w:line="292" w:lineRule="auto"/>
        <w:rPr>
          <w:sz w:val="20"/>
          <w:szCs w:val="20"/>
          <w:color w:val="auto"/>
        </w:rPr>
      </w:pPr>
      <w:r>
        <w:rPr>
          <w:rFonts w:ascii="Times New Roman" w:cs="Times New Roman" w:eastAsia="Times New Roman" w:hAnsi="Times New Roman"/>
          <w:sz w:val="14"/>
          <w:szCs w:val="14"/>
          <w:color w:val="auto"/>
        </w:rPr>
        <w:t>Contract revenue of $0.2 million for the six months ended June 30, 2025, was attributable to evaluation services performed for the evaluation agreement with Chugai. There was no contract revenue for the same period in 2024.</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09"/>
        </w:trPr>
        <w:tc>
          <w:tcPr>
            <w:tcW w:w="45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8,692</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12,075</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79" w:firstLine="701"/>
        <w:spacing w:after="0" w:line="292" w:lineRule="auto"/>
        <w:rPr>
          <w:sz w:val="20"/>
          <w:szCs w:val="20"/>
          <w:color w:val="auto"/>
        </w:rPr>
      </w:pPr>
      <w:r>
        <w:rPr>
          <w:rFonts w:ascii="Times New Roman" w:cs="Times New Roman" w:eastAsia="Times New Roman" w:hAnsi="Times New Roman"/>
          <w:sz w:val="14"/>
          <w:szCs w:val="14"/>
          <w:color w:val="auto"/>
        </w:rPr>
        <w:t>The decrease of $1.6 million in research and development expenses in the six months ended June 30, 2025, as compared to the same period in 2024, was primarily attributed to lower compensation costs.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jc w:val="both"/>
        <w:ind w:left="640" w:right="759" w:firstLine="701"/>
        <w:spacing w:after="0" w:line="274" w:lineRule="auto"/>
        <w:rPr>
          <w:sz w:val="20"/>
          <w:szCs w:val="20"/>
          <w:color w:val="auto"/>
        </w:rPr>
      </w:pPr>
      <w:r>
        <w:rPr>
          <w:rFonts w:ascii="Times New Roman" w:cs="Times New Roman" w:eastAsia="Times New Roman" w:hAnsi="Times New Roman"/>
          <w:sz w:val="14"/>
          <w:szCs w:val="14"/>
          <w:color w:val="auto"/>
        </w:rPr>
        <w:t>The decrease of $2.2 million in general and administrative expenses in the six months ended June 30, 2025, as compared to the same period in 2024, was primarily attributed to lower compensation costs of $1.0 million and $1.1 million reduction in third-party services.</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ind w:left="640" w:right="959" w:firstLine="701"/>
        <w:spacing w:after="0" w:line="292" w:lineRule="auto"/>
        <w:rPr>
          <w:sz w:val="20"/>
          <w:szCs w:val="20"/>
          <w:color w:val="auto"/>
        </w:rPr>
      </w:pPr>
      <w:r>
        <w:rPr>
          <w:rFonts w:ascii="Times New Roman" w:cs="Times New Roman" w:eastAsia="Times New Roman" w:hAnsi="Times New Roman"/>
          <w:sz w:val="14"/>
          <w:szCs w:val="14"/>
          <w:color w:val="auto"/>
        </w:rPr>
        <w:t>The change in other income (expense), net, in the six months ended June 30, 2025, as compared to the same period in 2024, was de minimis.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7"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including net loss of $24.0 million for six months ended June 30, 2025. As of June 30, 2025, we had an accumulated deficit of $116.9 million and for six months ended June 30, 2025, had negative cash flows from operations of $13.9 million. As of June 30, 2025, our cash, cash equivalents and marketable securities totaled $10.2 million (not including proceeds from the Offering described below). We expect to continue to incur losses for the foreseeable future, and our net losses may fluctuate significantly from period to period, depending on the timing of and expenditures on our planned research and development activities. Our existing capital resources, will not be sufficient to enable us to initiate any pivotal clinical trials. Based on our available cash resources and current operating plan, there is substantial doubt regarding our ability to continue as a going concern for a period of one year after the date that our financial statements for the six months ended June 30, 2025 are issued. If we are unable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Financial Update</w:t>
      </w:r>
    </w:p>
    <w:p>
      <w:pPr>
        <w:spacing w:after="0" w:line="187" w:lineRule="exact"/>
        <w:rPr>
          <w:sz w:val="20"/>
          <w:szCs w:val="20"/>
          <w:color w:val="auto"/>
        </w:rPr>
      </w:pPr>
    </w:p>
    <w:p>
      <w:pPr>
        <w:ind w:left="640" w:right="719" w:firstLine="701"/>
        <w:spacing w:after="0" w:line="263" w:lineRule="auto"/>
        <w:rPr>
          <w:sz w:val="20"/>
          <w:szCs w:val="20"/>
          <w:color w:val="auto"/>
        </w:rPr>
      </w:pPr>
      <w:r>
        <w:rPr>
          <w:rFonts w:ascii="Times New Roman" w:cs="Times New Roman" w:eastAsia="Times New Roman" w:hAnsi="Times New Roman"/>
          <w:sz w:val="14"/>
          <w:szCs w:val="14"/>
          <w:color w:val="auto"/>
        </w:rPr>
        <w:t>In July 2025, we entered into a securities purchase agreement, or the Purchase Agreement, with an institutional investor, relating to the issuance and sale of 4,354,000 shares of Class A common stock, par value $0.0001 per share, and pre-funded warrants to purchase 3,146,000 shares of Class A common stock. The pre-funded warrants are exercisable immediately following the closing date of the Offering and have an unlimited term and an exercise price of $0.0001 per share. The Offering price was $0.40 per share of Class A common stock and $0.3999 per pre-funded warrant for total gross proceeds of $3.0 million. After closing of the Offering, the institutional investor fully exercised all pre-funded warrants.</w:t>
      </w:r>
    </w:p>
    <w:p>
      <w:pPr>
        <w:spacing w:after="0" w:line="144" w:lineRule="exact"/>
        <w:rPr>
          <w:sz w:val="20"/>
          <w:szCs w:val="20"/>
          <w:color w:val="auto"/>
        </w:rPr>
      </w:pPr>
    </w:p>
    <w:p>
      <w:pPr>
        <w:ind w:left="640" w:right="679" w:firstLine="701"/>
        <w:spacing w:after="0" w:line="268" w:lineRule="auto"/>
        <w:rPr>
          <w:sz w:val="20"/>
          <w:szCs w:val="20"/>
          <w:color w:val="auto"/>
        </w:rPr>
      </w:pPr>
      <w:r>
        <w:rPr>
          <w:rFonts w:ascii="Times New Roman" w:cs="Times New Roman" w:eastAsia="Times New Roman" w:hAnsi="Times New Roman"/>
          <w:sz w:val="14"/>
          <w:szCs w:val="14"/>
          <w:color w:val="auto"/>
        </w:rPr>
        <w:t>In May 2025, we entered into the Letter Agreement with an existing institutional investor (the “Equity Investor”) pursuant to which the Investor exercised for cash all outstanding Series B and Series C warrants at a reduced exercise price of $0.65 per share in consideration for the Company’s issuance of a the Series D Warrant to purchase an aggregate of 13,160,172 shares of Class A common stock, $0.0001 par value per share with the exercise price of $0.65 per share.</w:t>
      </w:r>
    </w:p>
    <w:p>
      <w:pPr>
        <w:spacing w:after="0" w:line="140"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In October 2024, we entered into the October Securities Purchase Agreement with the Equtiy Investor relating to the October Offering. The aggregate net proceeds from the October Offering totaled $9.4 million, after deducting placement agent fees and other offering expenses payable by us, and excluding potential proceeds, if any, from the exercise of the Series C common warrants issued in the October Offering. Pursuant to the October Offering, the Series A Warrants were cancelled. In October 2024, the pre-funded warrants were fully exercised for de minimis proceeds.</w:t>
      </w:r>
    </w:p>
    <w:p>
      <w:pPr>
        <w:spacing w:after="0" w:line="142" w:lineRule="exact"/>
        <w:rPr>
          <w:sz w:val="20"/>
          <w:szCs w:val="20"/>
          <w:color w:val="auto"/>
        </w:rPr>
      </w:pPr>
    </w:p>
    <w:p>
      <w:pPr>
        <w:ind w:left="640" w:right="959" w:firstLine="701"/>
        <w:spacing w:after="0" w:line="268" w:lineRule="auto"/>
        <w:rPr>
          <w:sz w:val="20"/>
          <w:szCs w:val="20"/>
          <w:color w:val="auto"/>
        </w:rPr>
      </w:pPr>
      <w:r>
        <w:rPr>
          <w:rFonts w:ascii="Times New Roman" w:cs="Times New Roman" w:eastAsia="Times New Roman" w:hAnsi="Times New Roman"/>
          <w:sz w:val="14"/>
          <w:szCs w:val="14"/>
          <w:color w:val="auto"/>
        </w:rPr>
        <w:t>In July 2024, we entered into the July Securities Purchase Agreement with the Equity Investor relating to the July Offering. The aggregate net proceeds from the July Offering totaled $8.9 million, after deducting placement agent fees and other offering expenses, and excluding potential proceeds, if any, from the exercise of the Series B common warrants issued in the July Offering. In August 2024, the pre-funded warrants were fully exercised for de minimis proceeds.</w:t>
      </w:r>
    </w:p>
    <w:p>
      <w:pPr>
        <w:spacing w:after="0" w:line="140"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Loan Agreement also contains various covenants and restrictive provisions. There have been no material adverse events in connection with the Loan Agreement and the substantial doubt regarding our ability to continue as a going concern does not currently constitute a material adverse event under the terms of the Loan Agreement. The Loan principal is repayable in equal monthly installments which began in September 2024. As of June 30, 2025, we were in compliance with all financial covenants under the Loan Agreement.</w:t>
      </w:r>
    </w:p>
    <w:p>
      <w:pPr>
        <w:spacing w:after="0" w:line="149"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In addition, in August 2022, we entered into a Controlled EquitySM Sales Agreement (the “Sales Agreement”) with Cantor Fitzgerald &amp; Co. and H.C. Wainwright &amp; Co., LLC (collectively, the “Agents”), pursuant to which we may offer and sell from time to time through the Agents up to $150.0 million of shares of our Class A common stock, in such share amounts as we may specify by notice to the Agents, in accordance with the terms and conditions set forth in the Sales Agreement (“ATM Sales”). As of June 30, 2025, we had not delivered any placement notices to either of the Agents and there had been no ATM Sales. In May 2025, we and Cantor agreed to terminate Cantor’s participation as an Agent under the Sales Agreement. Accordingly, H.C. Wainwright &amp; Co., LLC.is now the sole Agent under the Sales Agreement.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8" w:name="page29"/>
    <w:bookmarkEnd w:id="28"/>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Under the rules and regulations of the Securities Act, an issuer with less than $75 million in public float (outstanding shares of securities listed on a trading market that are held by non-affiliates) may only utilize a Form S-3 registration statement to register securities for sale up to one-third of their public float over a 12-month period. These rules, referred to as “baby shelf” rules, apply to us currently. The baby shelf rules could limit the amount that we raise in a financing or make it more difficult for us to raise financing, including to effect ATM Sales. As a result, for financings that would exceed the limit of securities registrable on Form S-3 under the baby shelf rules, we may be required to issue unregistered securities or to register securities on a Form S-1, which would be expected to require more time, cost and effort than registering securities under a Form S-3.</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939" w:firstLine="701"/>
        <w:spacing w:after="0" w:line="292" w:lineRule="auto"/>
        <w:rPr>
          <w:sz w:val="20"/>
          <w:szCs w:val="20"/>
          <w:color w:val="auto"/>
        </w:rPr>
      </w:pPr>
      <w:r>
        <w:rPr>
          <w:rFonts w:ascii="Times New Roman" w:cs="Times New Roman" w:eastAsia="Times New Roman" w:hAnsi="Times New Roman"/>
          <w:sz w:val="14"/>
          <w:szCs w:val="14"/>
          <w:color w:val="auto"/>
        </w:rPr>
        <w:t>See Note 12 to the condensed consolidated financial statements contained in Part I, Item 1 of this Quarterly Report on Form 10-Q for additional information.</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640" w:right="759" w:firstLine="701"/>
        <w:spacing w:after="0" w:line="265" w:lineRule="auto"/>
        <w:rPr>
          <w:sz w:val="20"/>
          <w:szCs w:val="20"/>
          <w:color w:val="auto"/>
        </w:rPr>
      </w:pPr>
      <w:r>
        <w:rPr>
          <w:rFonts w:ascii="Times New Roman" w:cs="Times New Roman" w:eastAsia="Times New Roman" w:hAnsi="Times New Roman"/>
          <w:sz w:val="14"/>
          <w:szCs w:val="14"/>
          <w:color w:val="auto"/>
        </w:rPr>
        <w:t>Notwithstanding the sharing of development costs for the RT-114 program under the ProGen Agreement, our existing capital resources, will not be sufficient to enable us to initiate any pivotal clinical trials with respect to any of our product candidates.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spacing w:after="0" w:line="142" w:lineRule="exact"/>
        <w:rPr>
          <w:sz w:val="20"/>
          <w:szCs w:val="20"/>
          <w:color w:val="auto"/>
        </w:rPr>
      </w:pPr>
    </w:p>
    <w:p>
      <w:pPr>
        <w:ind w:left="640" w:right="759" w:firstLine="701"/>
        <w:spacing w:after="0" w:line="262" w:lineRule="auto"/>
        <w:rPr>
          <w:sz w:val="20"/>
          <w:szCs w:val="20"/>
          <w:color w:val="auto"/>
        </w:rPr>
      </w:pPr>
      <w:r>
        <w:rPr>
          <w:rFonts w:ascii="Times New Roman" w:cs="Times New Roman" w:eastAsia="Times New Roman" w:hAnsi="Times New Roman"/>
          <w:sz w:val="14"/>
          <w:szCs w:val="14"/>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spacing w:after="0" w:line="144" w:lineRule="exact"/>
        <w:rPr>
          <w:sz w:val="20"/>
          <w:szCs w:val="20"/>
          <w:color w:val="auto"/>
        </w:rPr>
      </w:pPr>
    </w:p>
    <w:p>
      <w:pPr>
        <w:ind w:left="640" w:right="719" w:firstLine="701"/>
        <w:spacing w:after="0" w:line="265" w:lineRule="auto"/>
        <w:rPr>
          <w:sz w:val="20"/>
          <w:szCs w:val="20"/>
          <w:color w:val="auto"/>
        </w:rPr>
      </w:pPr>
      <w:r>
        <w:rPr>
          <w:rFonts w:ascii="Times New Roman" w:cs="Times New Roman" w:eastAsia="Times New Roman" w:hAnsi="Times New Roman"/>
          <w:sz w:val="14"/>
          <w:szCs w:val="14"/>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56" w:lineRule="exact"/>
        <w:rPr>
          <w:sz w:val="20"/>
          <w:szCs w:val="20"/>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trial design, results of and timing of our preclinical studies and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our research pipeline;</w:t>
      </w:r>
    </w:p>
    <w:p>
      <w:pPr>
        <w:spacing w:after="0" w:line="96" w:lineRule="exact"/>
        <w:rPr>
          <w:rFonts w:ascii="Times New Roman" w:cs="Times New Roman" w:eastAsia="Times New Roman" w:hAnsi="Times New Roman"/>
          <w:sz w:val="14"/>
          <w:szCs w:val="14"/>
          <w:color w:val="auto"/>
        </w:rPr>
      </w:pPr>
    </w:p>
    <w:p>
      <w:pPr>
        <w:ind w:left="1680" w:right="659" w:hanging="341"/>
        <w:spacing w:after="0" w:line="268"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spacing w:after="0" w:line="54"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seeking and obtaining FDA and any other regulatory approvals;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the RaniPill capsules;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6" w:lineRule="exact"/>
        <w:rPr>
          <w:rFonts w:ascii="Times New Roman" w:cs="Times New Roman" w:eastAsia="Times New Roman" w:hAnsi="Times New Roman"/>
          <w:sz w:val="14"/>
          <w:szCs w:val="14"/>
          <w:color w:val="auto"/>
        </w:rPr>
      </w:pPr>
    </w:p>
    <w:p>
      <w:pPr>
        <w:ind w:left="1680" w:right="919" w:hanging="341"/>
        <w:spacing w:after="0" w:line="292"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manufacturing our product candidates, including establishing commercial supplies and sales, marketing, and distribution capabilities;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securing and establishing commercial infrastructure;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6" w:lineRule="exact"/>
        <w:rPr>
          <w:rFonts w:ascii="Times New Roman" w:cs="Times New Roman" w:eastAsia="Times New Roman" w:hAnsi="Times New Roman"/>
          <w:sz w:val="14"/>
          <w:szCs w:val="14"/>
          <w:color w:val="auto"/>
        </w:rPr>
      </w:pPr>
    </w:p>
    <w:p>
      <w:pPr>
        <w:ind w:left="1680" w:right="659" w:hanging="341"/>
        <w:spacing w:after="0" w:line="274"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0"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retain key management and hire scientific, technical, business, and engineering personnel;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9" w:name="page30"/>
    <w:bookmarkEnd w:id="29"/>
    <w:p>
      <w:pPr>
        <w:ind w:left="1680" w:hanging="341"/>
        <w:spacing w:after="0"/>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drugs and product candidates and other market developments;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from our potential products, if approved;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data losses or other disruptions affecting our information systems;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may implement; and</w:t>
      </w:r>
    </w:p>
    <w:p>
      <w:pPr>
        <w:spacing w:after="0" w:line="96" w:lineRule="exact"/>
        <w:rPr>
          <w:rFonts w:ascii="Times New Roman" w:cs="Times New Roman" w:eastAsia="Times New Roman" w:hAnsi="Times New Roman"/>
          <w:sz w:val="14"/>
          <w:szCs w:val="14"/>
          <w:color w:val="auto"/>
        </w:rPr>
      </w:pPr>
    </w:p>
    <w:p>
      <w:pPr>
        <w:ind w:left="1680" w:right="839" w:hanging="341"/>
        <w:spacing w:after="0" w:line="292"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other terms, timing of and success of any collaboration, licensing, or other arrangements which we may enter in the future.</w:t>
      </w:r>
    </w:p>
    <w:p>
      <w:pPr>
        <w:spacing w:after="0" w:line="124" w:lineRule="exact"/>
        <w:rPr>
          <w:sz w:val="20"/>
          <w:szCs w:val="20"/>
          <w:color w:val="auto"/>
        </w:rPr>
      </w:pPr>
    </w:p>
    <w:p>
      <w:pPr>
        <w:ind w:left="640" w:right="679" w:firstLine="701"/>
        <w:spacing w:after="0" w:line="258" w:lineRule="auto"/>
        <w:rPr>
          <w:sz w:val="20"/>
          <w:szCs w:val="20"/>
          <w:color w:val="auto"/>
        </w:rPr>
      </w:pPr>
      <w:r>
        <w:rPr>
          <w:rFonts w:ascii="Times New Roman" w:cs="Times New Roman" w:eastAsia="Times New Roman" w:hAnsi="Times New Roman"/>
          <w:sz w:val="14"/>
          <w:szCs w:val="14"/>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Furthermore, this Quarterly Report on Form 10-Q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 In the event we determine that additional sources of liquidity will not be available to us or will not allow us to meet our obligations as they become due, we may need to file a voluntary petition for relief under the United States Bankruptcy Code in order to implement a restructuring plan or liquidation.</w:t>
      </w:r>
    </w:p>
    <w:p>
      <w:pPr>
        <w:spacing w:after="0" w:line="15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cash equivalents and marketable securities:</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450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29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74"/>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23,877</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27,639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839" w:firstLine="701"/>
        <w:spacing w:after="0" w:line="262" w:lineRule="auto"/>
        <w:rPr>
          <w:sz w:val="20"/>
          <w:szCs w:val="20"/>
          <w:color w:val="auto"/>
        </w:rPr>
      </w:pPr>
      <w:r>
        <w:rPr>
          <w:rFonts w:ascii="Times New Roman" w:cs="Times New Roman" w:eastAsia="Times New Roman" w:hAnsi="Times New Roman"/>
          <w:sz w:val="14"/>
          <w:szCs w:val="14"/>
          <w:color w:val="auto"/>
        </w:rPr>
        <w:t>As of June 30, 2025, we had cash and cash equivalents and marketable securities of $10.2 million, compared to $27.6 million as of December 31, 2024. Based on our available cash resources and current operating plan, there is substantial doubt regarding our ability to continue as a going concern for a period of one year after the date that our financial statements for the six months ended June 30, 2025 are issued. Our existing capital resources, will not be sufficient to fund our projected operating requirements for a twelve-month period from the issuance of our financial statements. If we are not able to raise additional funds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1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60" w:type="dxa"/>
            <w:vAlign w:val="bottom"/>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100" w:type="dxa"/>
            <w:vAlign w:val="bottom"/>
          </w:tcPr>
          <w:p>
            <w:pPr>
              <w:spacing w:after="0"/>
              <w:rPr>
                <w:sz w:val="14"/>
                <w:szCs w:val="14"/>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(13,945)</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(18,431)</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23,942</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16,819</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(3,543)</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42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160" w:type="dxa"/>
            <w:vAlign w:val="bottom"/>
          </w:tcPr>
          <w:p>
            <w:pPr>
              <w:spacing w:after="0"/>
              <w:rPr>
                <w:sz w:val="12"/>
                <w:szCs w:val="12"/>
                <w:color w:val="auto"/>
              </w:rPr>
            </w:pPr>
          </w:p>
        </w:tc>
        <w:tc>
          <w:tcPr>
            <w:tcW w:w="200" w:type="dxa"/>
            <w:vAlign w:val="bottom"/>
            <w:vMerge w:val="restart"/>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(1,350)</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00" w:type="dxa"/>
            <w:vAlign w:val="bottom"/>
            <w:gridSpan w:val="2"/>
          </w:tcPr>
          <w:p>
            <w:pPr>
              <w:ind w:left="1100"/>
              <w:spacing w:after="0" w:line="155" w:lineRule="exact"/>
              <w:rPr>
                <w:sz w:val="20"/>
                <w:szCs w:val="20"/>
                <w:color w:val="auto"/>
              </w:rPr>
            </w:pPr>
            <w:r>
              <w:rPr>
                <w:rFonts w:ascii="Times New Roman" w:cs="Times New Roman" w:eastAsia="Times New Roman" w:hAnsi="Times New Roman"/>
                <w:sz w:val="14"/>
                <w:szCs w:val="14"/>
                <w:color w:val="auto"/>
              </w:rPr>
              <w:t>equivalents</w:t>
            </w:r>
          </w:p>
        </w:tc>
        <w:tc>
          <w:tcPr>
            <w:tcW w:w="5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jc w:val="right"/>
              <w:ind w:right="768"/>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11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-947420</wp:posOffset>
            </wp:positionV>
            <wp:extent cx="4064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-947420</wp:posOffset>
            </wp:positionV>
            <wp:extent cx="4064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7" w:lineRule="exact"/>
        <w:rPr>
          <w:sz w:val="20"/>
          <w:szCs w:val="20"/>
          <w:color w:val="auto"/>
        </w:rPr>
      </w:pPr>
    </w:p>
    <w:p>
      <w:pPr>
        <w:ind w:left="640" w:right="779" w:firstLine="701"/>
        <w:spacing w:after="0" w:line="263"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2025 was $13.9 million, which was primarily attributable to a net loss of $24.0 million and net accretion and amortization of investments in marketable securities of $0.2 million, partially offset by stock-based compensation expense of $7.2 million and depreciation and amortization expense of $0.5 million. Additionally, there was an increase in accounts payable of $0.4 million, accrued expenses and other current liabilities of $0.6 million and a decrease in contract asset of $0.4 million and prepaid expenses and other current assets of $0.8 million in for the six months ended June 30, 2025.</w:t>
      </w:r>
    </w:p>
    <w:p>
      <w:pPr>
        <w:spacing w:after="0" w:line="144" w:lineRule="exact"/>
        <w:rPr>
          <w:sz w:val="20"/>
          <w:szCs w:val="20"/>
          <w:color w:val="auto"/>
        </w:rPr>
      </w:pPr>
    </w:p>
    <w:p>
      <w:pPr>
        <w:ind w:left="640" w:right="819" w:firstLine="701"/>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2024 was $18.4 million, which was primarily attributable to a net loss of $28.1 million and net accretion and amortization of investments in marketable securities of $0.6 million, partially offset by the stock-based compensation expense of $8.0 million and depreciation and amortization expense of $0.5 million. Additionally, there was a decrease of $1.2 million in prepaid expenses and other current assets and an increase in accrued expenses and other current liabilities of $0.7 million for the six months ended June 30, 2024.</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7" w:lineRule="exact"/>
        <w:rPr>
          <w:sz w:val="20"/>
          <w:szCs w:val="20"/>
          <w:color w:val="auto"/>
        </w:rPr>
      </w:pPr>
    </w:p>
    <w:p>
      <w:pPr>
        <w:ind w:left="640" w:right="979" w:firstLine="701"/>
        <w:spacing w:after="0" w:line="274" w:lineRule="auto"/>
        <w:rPr>
          <w:sz w:val="20"/>
          <w:szCs w:val="20"/>
          <w:color w:val="auto"/>
        </w:rPr>
      </w:pPr>
      <w:r>
        <w:rPr>
          <w:rFonts w:ascii="Times New Roman" w:cs="Times New Roman" w:eastAsia="Times New Roman" w:hAnsi="Times New Roman"/>
          <w:sz w:val="14"/>
          <w:szCs w:val="14"/>
          <w:color w:val="auto"/>
        </w:rPr>
        <w:t>For the six months ended June 30, 2025, net cash provided by investing activities was $23.9 million, which primarily consisted of $26.8 million in proceeds from maturities of marketable securities partially offset by $2.7 million in purchases of marketable securities and $0.1 million in purchases of property and equipment.</w:t>
      </w:r>
    </w:p>
    <w:p>
      <w:pPr>
        <w:spacing w:after="0" w:line="136" w:lineRule="exact"/>
        <w:rPr>
          <w:sz w:val="20"/>
          <w:szCs w:val="20"/>
          <w:color w:val="auto"/>
        </w:rPr>
      </w:pPr>
    </w:p>
    <w:p>
      <w:pPr>
        <w:ind w:left="640" w:right="979" w:firstLine="701"/>
        <w:spacing w:after="0" w:line="274" w:lineRule="auto"/>
        <w:rPr>
          <w:sz w:val="20"/>
          <w:szCs w:val="20"/>
          <w:color w:val="auto"/>
        </w:rPr>
      </w:pPr>
      <w:r>
        <w:rPr>
          <w:rFonts w:ascii="Times New Roman" w:cs="Times New Roman" w:eastAsia="Times New Roman" w:hAnsi="Times New Roman"/>
          <w:sz w:val="14"/>
          <w:szCs w:val="14"/>
          <w:color w:val="auto"/>
        </w:rPr>
        <w:t>For the six months ended June 30, 2024, net cash provided by investing activities was $16.8 million, which primarily consisted of $38.6 million in proceeds from maturities of marketable securities partially offset by $21.6 million in purchases of marketable securities.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7" w:lineRule="exact"/>
        <w:rPr>
          <w:sz w:val="20"/>
          <w:szCs w:val="20"/>
          <w:color w:val="auto"/>
        </w:rPr>
      </w:pPr>
    </w:p>
    <w:p>
      <w:pPr>
        <w:ind w:left="640" w:right="739" w:firstLine="701"/>
        <w:spacing w:after="0" w:line="292" w:lineRule="auto"/>
        <w:rPr>
          <w:sz w:val="20"/>
          <w:szCs w:val="20"/>
          <w:color w:val="auto"/>
        </w:rPr>
      </w:pPr>
      <w:r>
        <w:rPr>
          <w:rFonts w:ascii="Times New Roman" w:cs="Times New Roman" w:eastAsia="Times New Roman" w:hAnsi="Times New Roman"/>
          <w:sz w:val="14"/>
          <w:szCs w:val="14"/>
          <w:color w:val="auto"/>
        </w:rPr>
        <w:t>For the six months ended June 30, 2025, net cash used in financing activities was $3.7 million, which primarily consisted of repayment of debt of $7.5 million offset by the exercise of warrants of $3.9 million.</w:t>
      </w:r>
    </w:p>
    <w:p>
      <w:pPr>
        <w:spacing w:after="0" w:line="124" w:lineRule="exact"/>
        <w:rPr>
          <w:sz w:val="20"/>
          <w:szCs w:val="20"/>
          <w:color w:val="auto"/>
        </w:rPr>
      </w:pPr>
    </w:p>
    <w:p>
      <w:pPr>
        <w:ind w:left="640" w:right="999" w:firstLine="701"/>
        <w:spacing w:after="0" w:line="292" w:lineRule="auto"/>
        <w:rPr>
          <w:sz w:val="20"/>
          <w:szCs w:val="20"/>
          <w:color w:val="auto"/>
        </w:rPr>
      </w:pPr>
      <w:r>
        <w:rPr>
          <w:rFonts w:ascii="Times New Roman" w:cs="Times New Roman" w:eastAsia="Times New Roman" w:hAnsi="Times New Roman"/>
          <w:sz w:val="14"/>
          <w:szCs w:val="14"/>
          <w:color w:val="auto"/>
        </w:rPr>
        <w:t>For the six months ended June 30, 2024, net cash provided by financing activities was $0.3 million, which primarily consisted of the issuance of common stock under employee stock purchase plan.</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w:t>
      </w:r>
    </w:p>
    <w:p>
      <w:pPr>
        <w:spacing w:after="0" w:line="187" w:lineRule="exact"/>
        <w:rPr>
          <w:sz w:val="20"/>
          <w:szCs w:val="20"/>
          <w:color w:val="auto"/>
        </w:rPr>
      </w:pPr>
    </w:p>
    <w:p>
      <w:pPr>
        <w:ind w:left="640" w:right="679" w:firstLine="701"/>
        <w:spacing w:after="0" w:line="292" w:lineRule="auto"/>
        <w:rPr>
          <w:sz w:val="20"/>
          <w:szCs w:val="20"/>
          <w:color w:val="auto"/>
        </w:rPr>
      </w:pPr>
      <w:r>
        <w:rPr>
          <w:rFonts w:ascii="Times New Roman" w:cs="Times New Roman" w:eastAsia="Times New Roman" w:hAnsi="Times New Roman"/>
          <w:sz w:val="14"/>
          <w:szCs w:val="14"/>
          <w:color w:val="auto"/>
        </w:rPr>
        <w:t>As of June 30, 2025, there have been no material changes to our contractual obligations and other commitments compared to those disclosed in our Annual Report on Form 10-K.</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5" w:lineRule="exact"/>
        <w:rPr>
          <w:sz w:val="20"/>
          <w:szCs w:val="20"/>
          <w:color w:val="auto"/>
        </w:rPr>
      </w:pPr>
    </w:p>
    <w:p>
      <w:pPr>
        <w:ind w:left="640" w:right="759" w:firstLine="701"/>
        <w:spacing w:after="0" w:line="263" w:lineRule="auto"/>
        <w:rPr>
          <w:sz w:val="20"/>
          <w:szCs w:val="20"/>
          <w:color w:val="auto"/>
        </w:rPr>
      </w:pPr>
      <w:r>
        <w:rPr>
          <w:rFonts w:ascii="Times New Roman" w:cs="Times New Roman" w:eastAsia="Times New Roman" w:hAnsi="Times New Roman"/>
          <w:sz w:val="14"/>
          <w:szCs w:val="14"/>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w:t>
      </w:r>
    </w:p>
    <w:p>
      <w:pPr>
        <w:spacing w:after="0" w:line="144"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condensed consolidated financial statements that require estimation but are not deemed critical, as defined above.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JOBS Act Accounting Election</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46" w:lineRule="exact"/>
        <w:rPr>
          <w:sz w:val="20"/>
          <w:szCs w:val="20"/>
          <w:color w:val="auto"/>
        </w:rPr>
      </w:pPr>
    </w:p>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640" w:right="899" w:firstLine="701"/>
        <w:spacing w:after="0" w:line="292" w:lineRule="auto"/>
        <w:rPr>
          <w:sz w:val="20"/>
          <w:szCs w:val="20"/>
          <w:color w:val="auto"/>
        </w:rPr>
      </w:pPr>
      <w:r>
        <w:rPr>
          <w:rFonts w:ascii="Times New Roman" w:cs="Times New Roman" w:eastAsia="Times New Roman" w:hAnsi="Times New Roman"/>
          <w:sz w:val="14"/>
          <w:szCs w:val="14"/>
          <w:color w:val="auto"/>
        </w:rPr>
        <w:t>We are a smaller reporting company as defined by Rule 12b-2 of the Exchange Act and are not required to provide the information required under this item.</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5"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June 30, 2025.</w:t>
      </w: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5" w:lineRule="exact"/>
        <w:rPr>
          <w:sz w:val="20"/>
          <w:szCs w:val="20"/>
          <w:color w:val="auto"/>
        </w:rPr>
      </w:pPr>
    </w:p>
    <w:p>
      <w:pPr>
        <w:jc w:val="both"/>
        <w:ind w:left="640" w:right="679" w:firstLine="701"/>
        <w:spacing w:after="0" w:line="274"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such term is defined in Rules 13a-15(f) and 15d-15(f) under the Exchange Act, during the three months ended June 30, 2025 that have materially affected, or are reasonably likely to materially affect, our internal control over financial reporting.</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85" w:lineRule="exact"/>
        <w:rPr>
          <w:sz w:val="20"/>
          <w:szCs w:val="20"/>
          <w:color w:val="auto"/>
        </w:rPr>
      </w:pPr>
    </w:p>
    <w:p>
      <w:pPr>
        <w:ind w:left="640" w:right="699" w:firstLine="701"/>
        <w:spacing w:after="0" w:line="258"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Other than described below, management believes that there have been no significant changes to the risk factors associated with our business as compared to those disclosed in Part 1, Item 1A of our Annual Report on Form 10-K for the year ended December 31, 2024.</w:t>
      </w:r>
    </w:p>
    <w:p>
      <w:pPr>
        <w:spacing w:after="0" w:line="132" w:lineRule="exact"/>
        <w:rPr>
          <w:sz w:val="20"/>
          <w:szCs w:val="20"/>
          <w:color w:val="auto"/>
        </w:rPr>
      </w:pPr>
    </w:p>
    <w:p>
      <w:pPr>
        <w:ind w:left="640" w:right="659" w:firstLine="70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There is substantial doubt regarding our ability to continue as a going concern and holders of our common stock could suffer a total loss of their investment. We will need to raise additional funding, which may not be available on acceptable terms. If we are unable to raise additional capital when needed, we may be forced to delay, limit, reduce or terminate our product development programs, commercialization efforts or other operations.</w:t>
      </w:r>
    </w:p>
    <w:p>
      <w:pPr>
        <w:spacing w:after="0" w:line="139"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Our operations have consumed substantial amounts of cash since our inception. We are in early clinical development with certain product candidates and have conducted or are in preclinical development with other product candidates. To advance our product candidates into initial and later stages of clinical development requires significant capital. In addition, we are developing the RaniPill HC. If the FDA or any comparable foreign regulatory authorities, such as the European Medicines Agency,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44"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As of June 30, 2025, our cash, cash equivalents and marketable securities totaled $10.2 million. Based on our available cash resources and current operating plan, there is substantial doubt regarding our ability to continue as a going concern and holders of our common stock could suffer a total loss of their investment. Our Board of Directors had initiated a review of alternatives, including potential strategic options, and of our financing strategy. Any failure or delay to obtain additional funding could force us to delay, limit or terminate our operations, make reductions in our workforce, liquidate all or a portion of our assets and/or seek protection under Chapter 7 or 11 of the United States Bankruptcy Code. Our existing capital resources will not be sufficient to enable us to initiate any pivotal clinical trials. We will need to raise substantial additional funds in the future in order to complete the development of the RaniPill platform, to complete the clinical development of our product candidates, including RT-114, and seek regulatory approval thereof, to expand our manufacturing capabilities, and to commercialize any of our product candidates.</w:t>
      </w:r>
    </w:p>
    <w:p>
      <w:pPr>
        <w:spacing w:after="0" w:line="149"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Based on our current planned operations, and in the absence of additional sources of liquidity, management anticipates that our existing cash and cash equivalents and anticipated cash flows from operations, will not be sufficient to meet our operating and liquidity needs beyond late September 2025. If we are unable to raise additional funds and continue as a going concern, we may have to cease operations and liquidate our assets. We may receive less than the value at which those assets are carried on our audited financial statements, and investors may lose all or a part of their investment.</w:t>
      </w:r>
    </w:p>
    <w:p>
      <w:pPr>
        <w:spacing w:after="0" w:line="142"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We may not be able to obtain additional funding on acceptable terms, or at all. As a result of geopolitical events, including the conflicts in Ukraine, Gaza and Iran, inflation, rising interest rates and other conditions, the global credit and financial markets have experienced volatility and disruptions. In addition, the report from our independent registered public accounting firm issued in connection with our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44" w:lineRule="exact"/>
        <w:rPr>
          <w:sz w:val="20"/>
          <w:szCs w:val="20"/>
          <w:color w:val="auto"/>
        </w:rPr>
      </w:pPr>
    </w:p>
    <w:p>
      <w:pPr>
        <w:ind w:left="640" w:right="1139" w:firstLine="701"/>
        <w:spacing w:after="0" w:line="292" w:lineRule="auto"/>
        <w:rPr>
          <w:sz w:val="20"/>
          <w:szCs w:val="20"/>
          <w:color w:val="auto"/>
        </w:rPr>
      </w:pPr>
      <w:r>
        <w:rPr>
          <w:rFonts w:ascii="Times New Roman" w:cs="Times New Roman" w:eastAsia="Times New Roman" w:hAnsi="Times New Roman"/>
          <w:sz w:val="14"/>
          <w:szCs w:val="14"/>
          <w:color w:val="auto"/>
        </w:rPr>
        <w:t>If we are unable to obtain funding on a timely basis, or to generate sufficient revenues, if at all, from collaboration arrangements, we may be required to:</w:t>
      </w:r>
    </w:p>
    <w:p>
      <w:pPr>
        <w:spacing w:after="0" w:line="38" w:lineRule="exact"/>
        <w:rPr>
          <w:sz w:val="20"/>
          <w:szCs w:val="20"/>
          <w:color w:val="auto"/>
        </w:rPr>
      </w:pPr>
    </w:p>
    <w:p>
      <w:pPr>
        <w:ind w:left="1340" w:right="719" w:hanging="352"/>
        <w:spacing w:after="0" w:line="274"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curtail, delay or discontinue one or more of our research or development programs, the development of our oral delivery technology, including the RaniPill HC, the commercialization of any product candidates or cease operations altogether;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4" w:name="page35"/>
    <w:bookmarkEnd w:id="34"/>
    <w:p>
      <w:pPr>
        <w:ind w:left="1340" w:right="8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collaborators for one or more of our product candidates at an earlier stage than otherwise would be desirable or on terms that are less favorable than might otherwise be available;</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relinquish or license on unfavorable terms our rights to technologies or product candidates that we otherwise would seek to develop or commercialize ourselves;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forego expansion of our operations or refrain from pursuing business opportunities; or</w:t>
      </w:r>
    </w:p>
    <w:p>
      <w:pPr>
        <w:spacing w:after="0" w:line="96"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 voluntary petition for relief under the United States Bankruptcy Code in order to implement a restructuring plan or liquidation.</w:t>
      </w:r>
    </w:p>
    <w:p>
      <w:pPr>
        <w:spacing w:after="0" w:line="124" w:lineRule="exact"/>
        <w:rPr>
          <w:sz w:val="20"/>
          <w:szCs w:val="20"/>
          <w:color w:val="auto"/>
        </w:rPr>
      </w:pPr>
    </w:p>
    <w:p>
      <w:pPr>
        <w:ind w:left="640" w:right="759" w:firstLine="701"/>
        <w:spacing w:after="0" w:line="274" w:lineRule="auto"/>
        <w:rPr>
          <w:sz w:val="20"/>
          <w:szCs w:val="20"/>
          <w:color w:val="auto"/>
        </w:rPr>
      </w:pPr>
      <w:r>
        <w:rPr>
          <w:rFonts w:ascii="Times New Roman" w:cs="Times New Roman" w:eastAsia="Times New Roman" w:hAnsi="Times New Roman"/>
          <w:sz w:val="14"/>
          <w:szCs w:val="14"/>
          <w:color w:val="auto"/>
        </w:rPr>
        <w:t>Our efforts to raise additional funding may divert our management from their day-to-day activities, which may adversely affect our ability to develop the RaniPill platform, to progress development of our product candidates or to automate our manufacturing processes.</w:t>
      </w:r>
    </w:p>
    <w:p>
      <w:pPr>
        <w:spacing w:after="0" w:line="136"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Moreover, the terms of any financing may adversely affect the holdings or the rights of our stockholders and the issuance of additional securities, whether equity or debt, by us, or the possibility of such issuance, may cause the market price of our Class A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spacing w:after="0" w:line="320" w:lineRule="exact"/>
        <w:rPr>
          <w:sz w:val="20"/>
          <w:szCs w:val="20"/>
          <w:color w:val="auto"/>
        </w:rPr>
      </w:pPr>
    </w:p>
    <w:p>
      <w:pPr>
        <w:ind w:left="640" w:right="899" w:firstLine="701"/>
        <w:spacing w:after="0" w:line="292" w:lineRule="auto"/>
        <w:rPr>
          <w:sz w:val="20"/>
          <w:szCs w:val="20"/>
          <w:color w:val="auto"/>
        </w:rPr>
      </w:pPr>
      <w:r>
        <w:rPr>
          <w:rFonts w:ascii="Times New Roman" w:cs="Times New Roman" w:eastAsia="Times New Roman" w:hAnsi="Times New Roman"/>
          <w:sz w:val="14"/>
          <w:szCs w:val="14"/>
          <w:color w:val="auto"/>
        </w:rPr>
        <w:t>Our funding requirements and the timing of our need for additional capital are subject to change based on a number of factors, including:</w:t>
      </w:r>
    </w:p>
    <w:p>
      <w:pPr>
        <w:spacing w:after="0" w:line="38" w:lineRule="exact"/>
        <w:rPr>
          <w:sz w:val="20"/>
          <w:szCs w:val="20"/>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trial design, results and timing of our preclinical studies and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our research pipeline;</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costs of development of the RaniPill HC device and other improvements or advancements to our delivery technologies;</w:t>
      </w:r>
    </w:p>
    <w:p>
      <w:pPr>
        <w:spacing w:after="0" w:line="37" w:lineRule="exact"/>
        <w:rPr>
          <w:rFonts w:ascii="Times New Roman" w:cs="Times New Roman" w:eastAsia="Times New Roman" w:hAnsi="Times New Roman"/>
          <w:sz w:val="14"/>
          <w:szCs w:val="14"/>
          <w:color w:val="auto"/>
        </w:rPr>
      </w:pPr>
    </w:p>
    <w:p>
      <w:pPr>
        <w:jc w:val="both"/>
        <w:ind w:left="1340" w:right="799" w:hanging="352"/>
        <w:spacing w:after="0" w:line="274"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seeking and obtaining FDA, and any other, regulatory approvals;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the RaniPill capsule;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manufacturing, and obtaining drug supply for, our product candidates, including for clinical and commercial supplies;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securing and establishing commercial infrastructure, including establishing sales, marketing, and distribution capabilities;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6" w:lineRule="exact"/>
        <w:rPr>
          <w:rFonts w:ascii="Times New Roman" w:cs="Times New Roman" w:eastAsia="Times New Roman" w:hAnsi="Times New Roman"/>
          <w:sz w:val="14"/>
          <w:szCs w:val="14"/>
          <w:color w:val="auto"/>
        </w:rPr>
      </w:pPr>
    </w:p>
    <w:p>
      <w:pPr>
        <w:jc w:val="both"/>
        <w:ind w:left="1340" w:right="979" w:hanging="352"/>
        <w:spacing w:after="0" w:line="274"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retain key management and hire scientific, technical, business, and engineering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drugs and product candidates and other market developments;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from our potential products, if approved;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 or enter into strategic transactions;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data losses or other disruptions affecting our information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5" w:name="page36"/>
    <w:bookmarkEnd w:id="35"/>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and cost-containment measures we propose to implement;</w:t>
      </w:r>
    </w:p>
    <w:p>
      <w:pPr>
        <w:spacing w:after="0" w:line="96"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other terms, timing of and success of any collaboration, licensing, or other arrangements which we may enter in the future; and</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disruptions to and volatility in the credit and financial markets in the United States and worldwide from geopolitical conflicts or other such disruptions.</w:t>
      </w:r>
    </w:p>
    <w:p>
      <w:pPr>
        <w:spacing w:after="0" w:line="124" w:lineRule="exact"/>
        <w:rPr>
          <w:sz w:val="20"/>
          <w:szCs w:val="20"/>
          <w:color w:val="auto"/>
        </w:rPr>
      </w:pPr>
    </w:p>
    <w:p>
      <w:pPr>
        <w:jc w:val="both"/>
        <w:ind w:left="640" w:right="779" w:firstLine="701"/>
        <w:spacing w:after="0" w:line="274" w:lineRule="auto"/>
        <w:rPr>
          <w:sz w:val="20"/>
          <w:szCs w:val="20"/>
          <w:color w:val="auto"/>
        </w:rPr>
      </w:pPr>
      <w:r>
        <w:rPr>
          <w:rFonts w:ascii="Times New Roman" w:cs="Times New Roman" w:eastAsia="Times New Roman" w:hAnsi="Times New Roman"/>
          <w:sz w:val="14"/>
          <w:szCs w:val="14"/>
          <w:color w:val="auto"/>
        </w:rPr>
        <w:t>In the event we determine that additional sources of liquidity will not be available to us or will not allow us to meet our obligations as they become due, we may need to file a voluntary petition for relief under the United States Bankruptcy Code in order to implement a restructuring plan or liquidation.</w:t>
      </w:r>
    </w:p>
    <w:p>
      <w:pPr>
        <w:spacing w:after="0" w:line="132" w:lineRule="exact"/>
        <w:rPr>
          <w:sz w:val="20"/>
          <w:szCs w:val="20"/>
          <w:color w:val="auto"/>
        </w:rPr>
      </w:pPr>
    </w:p>
    <w:p>
      <w:pPr>
        <w:ind w:left="640" w:right="719" w:firstLine="70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meet the requirements for continued listing on The Nasdaq Global Market. If we fail to meet the requirements for continued listing on The Nasdaq Global Market, trading in our common stock could be suspended and our common stock delisted from Nasdaq, which would have a negative effect on the price of our common stock and our ability to raise additional capital.</w:t>
      </w:r>
    </w:p>
    <w:p>
      <w:pPr>
        <w:spacing w:after="0" w:line="139" w:lineRule="exact"/>
        <w:rPr>
          <w:sz w:val="20"/>
          <w:szCs w:val="20"/>
          <w:color w:val="auto"/>
        </w:rPr>
      </w:pPr>
    </w:p>
    <w:p>
      <w:pPr>
        <w:ind w:left="640" w:right="759" w:firstLine="701"/>
        <w:spacing w:after="0" w:line="268" w:lineRule="auto"/>
        <w:rPr>
          <w:sz w:val="20"/>
          <w:szCs w:val="20"/>
          <w:color w:val="auto"/>
        </w:rPr>
      </w:pPr>
      <w:r>
        <w:rPr>
          <w:rFonts w:ascii="Times New Roman" w:cs="Times New Roman" w:eastAsia="Times New Roman" w:hAnsi="Times New Roman"/>
          <w:sz w:val="14"/>
          <w:szCs w:val="14"/>
          <w:color w:val="auto"/>
        </w:rPr>
        <w:t>Our Class A common stock is currently listed on The Nasdaq Global Market. We are required to meet specified requirements to maintain our listing on The Nasdaq Global Market, including, among others, a minimum bid price of $1.00 per share of our class A common stock under Nasdaq Listing Rule 5450(a)(1) (“Minimum Bid Price Requirement”) and a minimum market value of listed securities (“MVLS”), of $50,000,000 under Nasdaq Listing Rule 5450(b)(2)(A) (the “MVLS Requirement”).</w:t>
      </w:r>
    </w:p>
    <w:p>
      <w:pPr>
        <w:spacing w:after="0" w:line="140" w:lineRule="exact"/>
        <w:rPr>
          <w:sz w:val="20"/>
          <w:szCs w:val="20"/>
          <w:color w:val="auto"/>
        </w:rPr>
      </w:pPr>
    </w:p>
    <w:p>
      <w:pPr>
        <w:ind w:left="640" w:right="659" w:firstLine="701"/>
        <w:spacing w:after="0" w:line="258" w:lineRule="auto"/>
        <w:rPr>
          <w:sz w:val="20"/>
          <w:szCs w:val="20"/>
          <w:color w:val="auto"/>
        </w:rPr>
      </w:pPr>
      <w:r>
        <w:rPr>
          <w:rFonts w:ascii="Times New Roman" w:cs="Times New Roman" w:eastAsia="Times New Roman" w:hAnsi="Times New Roman"/>
          <w:sz w:val="14"/>
          <w:szCs w:val="14"/>
          <w:color w:val="auto"/>
        </w:rPr>
        <w:t>On June 20, 2025, we received written notice from the Listing Qualifications Department (“Staff”) of The Nasdaq Stock Market LLC (“Nasdaq”) notifying us that, based on the closing bid price of our Class A common stock, par value $0.0001 per share for the prior 30 consecutive business days we no longer comply with the Minimum Bid Price Requirement for continued listing on The Nasdaq Global Market (the “Bid Price Notice”). Nasdaq Listing Rule 5450(a)(1) requires listed securities to maintain a minimum bid price of $1.00 per share. Under Nasdaq Listing Rule 5810(c)(3)(A), we are entitled to a 180-day period, ending on December 17, 2025, to rectify the deficiency. In order to do so, we must achieve and maintain a minimum bid price of at least $1 per share or more for a minimum of 10 consecutive business days. If we do not regain compliance by December 17, 2025, the Bid Price Notice states that we will receive written notification that our securities are subject to delisting. Alternatively, we may be eligible for an additional 180-calendar day compliance period if we elect to transfer to The Nasdaq Capital Market to take advantage of the additional compliance period offered on that market. To qualify, we will be required to meet the continued listing requirement for market value of publicly held shares and all other initial listing standards, with the exception of the Minimum Bid Price Requirement, and will need to provide written notice of our intention to cure the deficiency during the second compliance period by effecting a reverse stock split if necessary. If we do not regain compliance within the compliance period(s), including any extensions that may be granted by Nasdaq, then the common stock will be subject to delisting. We intend to monitor the closing bid price of our common stock and consider our available options to resolve the noncompliance with the Minimum Bid Price Requirement. There can be no assurance that we will be able to regain compliance with The Nasdaq Global Market’s continued listing requirements or that Nasdaq will grant us a further extension of time to regain compliance, if applicable.</w:t>
      </w:r>
    </w:p>
    <w:p>
      <w:pPr>
        <w:spacing w:after="0" w:line="151"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On May 1, 2025, we received written notice from the Staff notifying us that we were not in compliance with the MVLS Requirement (the “MVLS Notice”). In accordance with the Nasdaq Listing Rules, we were granted 180 calendar days, or until October 28, 2025, to regain compliance with the MVLS Requirement. In order to do so, we must achieve and maintain an MVLS of at least $50,000,000 or more for a minimum of 10 consecutive business days. If we do not regain compliance with the MVLS Requirement by October 28, 2025, the MLVS Notice states that we will receive written notification that our securities are subject to delisting. At that time, we may appeal the delisting determination to a Nasdaq hearings panel. Alternatively, we may apply for a transfer of the listing of its securities to The Nasdaq Capital Market, provided that we then meet the continued listing requirements on The Nasdaq Capital Market. We are considering actions that we may take in response to the Notice to regain compliance with the continued listing requirements, but no decisions about a response have been made at this time. There can be no assurance that we will be able to regain compliance with the MVLS requirement or will otherwise be in compliance with other Nasdaq listing criteria.</w:t>
      </w:r>
    </w:p>
    <w:p>
      <w:pPr>
        <w:spacing w:after="0" w:line="146"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The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would also make it more difficult for our stockholders to sell or purchase our common stock when they wish to do so. If delisted from The Nasdaq Global Market, and not able to transfer to The Nasdaq Capital Market, we will likely trade on the OTC Markets system, which could make it more difficult to dispose of, or obtain accurate quotations for the price of, our common stock, and may lead to a reduction in coverage by securities analysts and the news media, which could cause the price of our common stock to decline further.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6" w:name="page37"/>
    <w:bookmarkEnd w:id="36"/>
    <w:p>
      <w:pPr>
        <w:ind w:left="640" w:right="699" w:firstLine="70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International trade policies, including tariffs, sanctions and trade barriers may adversely affect our business, financial condition, results of operations and prospects.</w:t>
      </w:r>
    </w:p>
    <w:p>
      <w:pPr>
        <w:spacing w:after="0" w:line="120"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We operate in a global economy, which includes utilizing third-party suppliers in several countries outside the United States, including suppliers of drug substance for our pipeline programs and suppliers of certain raw materials for the manufacture of the RaniPill® capsule.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146"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We manufacture the RaniPill® capsule in the United States. We are vertically integrated and manufacture many of the components used in the RaniPill® capsule. We source raw materials for our components and manufacturing from a variety of suppliers. Currently, nearly all of the principal suppliers of our raw materials and externally-sourced components used to support our manufacturing come from suppliers located in the United States. The current principal supplier of one raw material is located in China. We obtain supply of the drug substances used for our pipeline programs from third parties. The drug substance for our RT-114 (bispecific GLP-1/GLP-2 receptor agonist) program is manufactured in Korea and China, and the drug substances for our RT-111 (ustekinumab biosimilar) and RT-105 (adalimumab biosimilar) programs are manufactured in Korea. The drug substance for our RT-102 (parathyroid hormone) and RT-110 programs is manufactured in the United States.</w:t>
      </w:r>
    </w:p>
    <w:p>
      <w:pPr>
        <w:spacing w:after="0" w:line="146"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Current or future tariffs will result in increased research and development and manufacturing expenses, including with respect to increased costs associated with drug substances, raw materials, laboratory equipment and research materials and components .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or collaborations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49" w:lineRule="exact"/>
        <w:rPr>
          <w:sz w:val="20"/>
          <w:szCs w:val="20"/>
          <w:color w:val="auto"/>
        </w:rPr>
      </w:pPr>
    </w:p>
    <w:p>
      <w:pPr>
        <w:ind w:left="640" w:right="739" w:firstLine="701"/>
        <w:spacing w:after="0" w:line="260" w:lineRule="auto"/>
        <w:rPr>
          <w:sz w:val="20"/>
          <w:szCs w:val="20"/>
          <w:color w:val="auto"/>
        </w:rPr>
      </w:pPr>
      <w:r>
        <w:rPr>
          <w:rFonts w:ascii="Times New Roman" w:cs="Times New Roman" w:eastAsia="Times New Roman" w:hAnsi="Times New Roman"/>
          <w:sz w:val="14"/>
          <w:szCs w:val="14"/>
          <w:color w:val="auto"/>
        </w:rPr>
        <w:t>The complexity of announced or future tariffs may also increase the risk that we or our collaborators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collaborators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49"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heightened and may continue to heighten the risks related to the other risk factors described in our Annual Report for the fiscal year ended December 31, 2024.</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5" w:lineRule="exact"/>
        <w:rPr>
          <w:sz w:val="20"/>
          <w:szCs w:val="20"/>
          <w:color w:val="auto"/>
        </w:rPr>
      </w:pPr>
    </w:p>
    <w:p>
      <w:pPr>
        <w:ind w:left="640" w:right="659" w:firstLine="701"/>
        <w:spacing w:after="0" w:line="263" w:lineRule="auto"/>
        <w:rPr>
          <w:sz w:val="20"/>
          <w:szCs w:val="20"/>
          <w:color w:val="auto"/>
        </w:rPr>
      </w:pPr>
      <w:r>
        <w:rPr>
          <w:rFonts w:ascii="Times New Roman" w:cs="Times New Roman" w:eastAsia="Times New Roman" w:hAnsi="Times New Roman"/>
          <w:sz w:val="14"/>
          <w:szCs w:val="14"/>
          <w:color w:val="auto"/>
        </w:rPr>
        <w:t>On August 1, 2025, our Board of Directors approved a retention program, pursuant to which certain executive officers and key employees (“Officers”), including our Chief Financial Officer, Svai Sanford, will receive cash retention payments (the “Retention Program”) subject to certain condition, including continuous employment through the end of the payment period. In connection with the adoption of the Retention Program, we have entered into, or expect to enter into, a Retention Agreement (the “Retention Agreements”) with each Officer, pursuant to which each Officer is entitled to receive cash payments equal to four months of their respective annual salaries, payable in two equal installments. Mr. Sanford’s aggregate retention payment is equal to $139,000.</w:t>
      </w:r>
    </w:p>
    <w:p>
      <w:pPr>
        <w:spacing w:after="0" w:line="144"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Pursuant to the Retention Agreements, if an Officer is terminated for cause or resigns from employment for any reason prior to October 15, 2025, such Officer will be required to repay the pre-tax amount of the retention payment pursuant to the terms set forth in the Retention Agreements.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gridSpan w:val="10"/>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6880" w:type="dxa"/>
            <w:vAlign w:val="bottom"/>
            <w:tcBorders>
              <w:bottom w:val="single" w:sz="8" w:color="0000FF"/>
            </w:tcBorders>
            <w:gridSpan w:val="9"/>
          </w:tcPr>
          <w:p>
            <w:pPr>
              <w:spacing w:after="0" w:line="131"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Amended and Restated Certificate of Incorporation of the Registrant as currently in effect (incorporated by reference to</w:t>
              </w:r>
            </w:hyperlink>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78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Exhibit 3.1 to the Registrant’s Registration Statement on Form S-1, as amended, filed with the SEC on July 26, 2021).</w:t>
              </w:r>
            </w:hyperlink>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6760" w:type="dxa"/>
            <w:vAlign w:val="bottom"/>
            <w:tcBorders>
              <w:bottom w:val="single" w:sz="8" w:color="0000FF"/>
            </w:tcBorders>
            <w:gridSpan w:val="7"/>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Amended and Restated Bylaws of the Registrant as currently in effect (incorporated by reference to Exhibit 3.4 to the</w:t>
              </w:r>
            </w:hyperlink>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40" w:type="dxa"/>
            <w:vAlign w:val="bottom"/>
            <w:gridSpan w:val="12"/>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6880" w:type="dxa"/>
            <w:vAlign w:val="bottom"/>
            <w:tcBorders>
              <w:bottom w:val="single" w:sz="8" w:color="0000FF"/>
            </w:tcBorders>
            <w:gridSpan w:val="9"/>
          </w:tcPr>
          <w:p>
            <w:pPr>
              <w:spacing w:after="0" w:line="152"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Form of Series D Common Stock Warrant (incorporated by reference to Exhibit 10.2 to the Registrant’s Current Report</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on Form 8-K, filed with the SEC on May 20, 2025).</w:t>
              </w:r>
            </w:hyperlink>
          </w:p>
        </w:tc>
        <w:tc>
          <w:tcPr>
            <w:tcW w:w="20" w:type="dxa"/>
            <w:vAlign w:val="bottom"/>
            <w:tcBorders>
              <w:bottom w:val="single" w:sz="8" w:color="0000EE"/>
            </w:tcBorders>
          </w:tcPr>
          <w:p>
            <w:pPr>
              <w:spacing w:after="0"/>
              <w:rPr>
                <w:sz w:val="13"/>
                <w:szCs w:val="13"/>
                <w:color w:val="auto"/>
              </w:rPr>
            </w:pPr>
          </w:p>
        </w:tc>
        <w:tc>
          <w:tcPr>
            <w:tcW w:w="40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7020" w:type="dxa"/>
            <w:vAlign w:val="bottom"/>
            <w:tcBorders>
              <w:bottom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 Act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4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3"/>
                <w:szCs w:val="13"/>
                <w:color w:val="auto"/>
              </w:rPr>
            </w:pPr>
          </w:p>
        </w:tc>
        <w:tc>
          <w:tcPr>
            <w:tcW w:w="6980" w:type="dxa"/>
            <w:vAlign w:val="bottom"/>
            <w:tcBorders>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 Act</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4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3"/>
                <w:szCs w:val="13"/>
                <w:color w:val="auto"/>
              </w:rPr>
            </w:pPr>
          </w:p>
        </w:tc>
        <w:tc>
          <w:tcPr>
            <w:tcW w:w="6600" w:type="dxa"/>
            <w:vAlign w:val="bottom"/>
            <w:tcBorders>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 1350, as</w:t>
            </w:r>
          </w:p>
        </w:tc>
        <w:tc>
          <w:tcPr>
            <w:tcW w:w="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30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are embedded within the Inline XBRL document.</w:t>
            </w:r>
          </w:p>
        </w:tc>
        <w:tc>
          <w:tcPr>
            <w:tcW w:w="0" w:type="dxa"/>
            <w:vAlign w:val="bottom"/>
          </w:tcPr>
          <w:p>
            <w:pPr>
              <w:spacing w:after="0"/>
              <w:rPr>
                <w:sz w:val="1"/>
                <w:szCs w:val="1"/>
                <w:color w:val="auto"/>
              </w:rPr>
            </w:pPr>
          </w:p>
        </w:tc>
      </w:tr>
      <w:tr>
        <w:trPr>
          <w:trHeight w:val="17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7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7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7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7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80" w:type="dxa"/>
            <w:vAlign w:val="bottom"/>
          </w:tcPr>
          <w:p>
            <w:pPr>
              <w:spacing w:after="0"/>
              <w:rPr>
                <w:sz w:val="14"/>
                <w:szCs w:val="14"/>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6"/>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7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hanging="38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5" w:lineRule="exact"/>
        <w:rPr>
          <w:sz w:val="20"/>
          <w:szCs w:val="20"/>
          <w:color w:val="auto"/>
        </w:rPr>
      </w:pPr>
    </w:p>
    <w:p>
      <w:pPr>
        <w:ind w:left="1020" w:right="679" w:hanging="382"/>
        <w:spacing w:after="0" w:line="261"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1059" w:firstLine="70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183" w:lineRule="exact"/>
        <w:rPr>
          <w:sz w:val="20"/>
          <w:szCs w:val="20"/>
          <w:color w:val="auto"/>
        </w:rPr>
      </w:pPr>
    </w:p>
    <w:p>
      <w:pPr>
        <w:ind w:left="640"/>
        <w:spacing w:after="0"/>
        <w:tabs>
          <w:tab w:leader="none" w:pos="4520" w:val="left"/>
          <w:tab w:leader="none" w:pos="6160" w:val="left"/>
        </w:tabs>
        <w:rPr>
          <w:sz w:val="20"/>
          <w:szCs w:val="20"/>
          <w:color w:val="auto"/>
        </w:rPr>
      </w:pPr>
      <w:r>
        <w:rPr>
          <w:rFonts w:ascii="Times New Roman" w:cs="Times New Roman" w:eastAsia="Times New Roman" w:hAnsi="Times New Roman"/>
          <w:sz w:val="14"/>
          <w:szCs w:val="14"/>
          <w:color w:val="auto"/>
        </w:rPr>
        <w:t>Date: August 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16510</wp:posOffset>
            </wp:positionV>
            <wp:extent cx="224345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Talat Imran</w: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69" w:lineRule="exact"/>
        <w:rPr>
          <w:sz w:val="20"/>
          <w:szCs w:val="20"/>
          <w:color w:val="auto"/>
        </w:rPr>
      </w:pPr>
    </w:p>
    <w:p>
      <w:pPr>
        <w:ind w:left="640"/>
        <w:spacing w:after="0"/>
        <w:tabs>
          <w:tab w:leader="none" w:pos="4520" w:val="left"/>
          <w:tab w:leader="none" w:pos="6120" w:val="left"/>
        </w:tabs>
        <w:rPr>
          <w:sz w:val="20"/>
          <w:szCs w:val="20"/>
          <w:color w:val="auto"/>
        </w:rPr>
      </w:pPr>
      <w:r>
        <w:rPr>
          <w:rFonts w:ascii="Times New Roman" w:cs="Times New Roman" w:eastAsia="Times New Roman" w:hAnsi="Times New Roman"/>
          <w:sz w:val="14"/>
          <w:szCs w:val="14"/>
          <w:color w:val="auto"/>
        </w:rPr>
        <w:t>Date: August 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16510</wp:posOffset>
            </wp:positionV>
            <wp:extent cx="224345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Svai Sanford</w: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40" w:name="page41"/>
    <w:bookmarkEnd w:id="40"/>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Talat Imran, certify that:</w:t>
      </w:r>
    </w:p>
    <w:p>
      <w:pPr>
        <w:spacing w:after="0" w:line="183" w:lineRule="exact"/>
        <w:rPr>
          <w:sz w:val="20"/>
          <w:szCs w:val="20"/>
          <w:color w:val="auto"/>
        </w:rPr>
      </w:pPr>
    </w:p>
    <w:p>
      <w:pPr>
        <w:ind w:left="1660" w:hanging="507"/>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2"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1"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1"/>
        <w:spacing w:after="0" w:line="292" w:lineRule="auto"/>
        <w:tabs>
          <w:tab w:leader="none" w:pos="21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1" w:name="page42"/>
    <w:bookmarkEnd w:id="41"/>
    <w:p>
      <w:pPr>
        <w:ind w:left="1160"/>
        <w:spacing w:after="0"/>
        <w:rPr>
          <w:sz w:val="20"/>
          <w:szCs w:val="20"/>
          <w:color w:val="auto"/>
        </w:rPr>
      </w:pPr>
      <w:r>
        <w:rPr>
          <w:rFonts w:ascii="Times New Roman" w:cs="Times New Roman" w:eastAsia="Times New Roman" w:hAnsi="Times New Roman"/>
          <w:sz w:val="14"/>
          <w:szCs w:val="14"/>
          <w:color w:val="auto"/>
        </w:rPr>
        <w:t>Date: August 7, 2025</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Talat Imran</w:t>
      </w:r>
    </w:p>
    <w:p>
      <w:pPr>
        <w:spacing w:after="0" w:line="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-99060</wp:posOffset>
            </wp:positionV>
            <wp:extent cx="169100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1691005" cy="6985"/>
                    </a:xfrm>
                    <a:prstGeom prst="rect">
                      <a:avLst/>
                    </a:prstGeom>
                    <a:noFill/>
                  </pic:spPr>
                </pic:pic>
              </a:graphicData>
            </a:graphic>
          </wp:anchor>
        </w:drawing>
      </w:r>
    </w:p>
    <w:p>
      <w:pPr>
        <w:spacing w:after="0" w:line="5"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1"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813435</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2" w:name="page43"/>
    <w:bookmarkEnd w:id="42"/>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Svai Sanford, certify that:</w:t>
      </w:r>
    </w:p>
    <w:p>
      <w:pPr>
        <w:spacing w:after="0" w:line="183" w:lineRule="exact"/>
        <w:rPr>
          <w:sz w:val="20"/>
          <w:szCs w:val="20"/>
          <w:color w:val="auto"/>
        </w:rPr>
      </w:pPr>
    </w:p>
    <w:p>
      <w:pPr>
        <w:ind w:left="1660" w:hanging="507"/>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2"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1"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1"/>
        <w:spacing w:after="0" w:line="292"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3" w:name="page44"/>
    <w:bookmarkEnd w:id="43"/>
    <w:p>
      <w:pPr>
        <w:ind w:left="1160"/>
        <w:spacing w:after="0"/>
        <w:rPr>
          <w:sz w:val="20"/>
          <w:szCs w:val="20"/>
          <w:color w:val="auto"/>
        </w:rPr>
      </w:pPr>
      <w:r>
        <w:rPr>
          <w:rFonts w:ascii="Times New Roman" w:cs="Times New Roman" w:eastAsia="Times New Roman" w:hAnsi="Times New Roman"/>
          <w:sz w:val="14"/>
          <w:szCs w:val="14"/>
          <w:color w:val="auto"/>
        </w:rPr>
        <w:t>Date: August 7, 2025</w:t>
      </w:r>
    </w:p>
    <w:p>
      <w:pPr>
        <w:spacing w:after="0" w:line="2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 Svai Sanford</w:t>
      </w:r>
    </w:p>
    <w:p>
      <w:pPr>
        <w:spacing w:after="0" w:line="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-100965</wp:posOffset>
            </wp:positionV>
            <wp:extent cx="169799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2"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1"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813435</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4" w:name="page45"/>
    <w:bookmarkEnd w:id="44"/>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7" w:lineRule="exact"/>
        <w:rPr>
          <w:sz w:val="20"/>
          <w:szCs w:val="20"/>
          <w:color w:val="auto"/>
        </w:rPr>
      </w:pPr>
    </w:p>
    <w:p>
      <w:pPr>
        <w:jc w:val="both"/>
        <w:ind w:left="1160" w:right="1179"/>
        <w:spacing w:after="0" w:line="261"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45" w:lineRule="exact"/>
        <w:rPr>
          <w:sz w:val="20"/>
          <w:szCs w:val="20"/>
          <w:color w:val="auto"/>
        </w:rPr>
      </w:pPr>
    </w:p>
    <w:p>
      <w:pPr>
        <w:jc w:val="both"/>
        <w:ind w:left="1660" w:right="1159" w:hanging="507"/>
        <w:spacing w:after="0" w:line="266" w:lineRule="auto"/>
        <w:tabs>
          <w:tab w:leader="none" w:pos="1660" w:val="left"/>
        </w:tabs>
        <w:numPr>
          <w:ilvl w:val="0"/>
          <w:numId w:val="19"/>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Company’s Quarterly Report on Form 10-Q for the period ended June 30, 2025, to which this Certification is attached as Exhibit 32.1 (the “Periodic Report”), fully complies with the requirements of Section 13(a) or Section 15(d) of the Exchange Act; and</w:t>
      </w:r>
    </w:p>
    <w:p>
      <w:pPr>
        <w:spacing w:after="0" w:line="141" w:lineRule="exact"/>
        <w:rPr>
          <w:rFonts w:ascii="Calibri" w:cs="Calibri" w:eastAsia="Calibri" w:hAnsi="Calibri"/>
          <w:sz w:val="14"/>
          <w:szCs w:val="14"/>
          <w:b w:val="1"/>
          <w:bCs w:val="1"/>
          <w:color w:val="auto"/>
        </w:rPr>
      </w:pPr>
    </w:p>
    <w:p>
      <w:pPr>
        <w:ind w:left="1660" w:right="1159" w:hanging="507"/>
        <w:spacing w:after="0" w:line="278" w:lineRule="auto"/>
        <w:tabs>
          <w:tab w:leader="none" w:pos="1660" w:val="left"/>
        </w:tabs>
        <w:numPr>
          <w:ilvl w:val="0"/>
          <w:numId w:val="19"/>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undersigned have set their hands hereto as of the 7th day of August, 2025</w:t>
      </w: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Talat Imran</w:t>
            </w:r>
          </w:p>
        </w:tc>
        <w:tc>
          <w:tcPr>
            <w:tcW w:w="940" w:type="dxa"/>
            <w:vAlign w:val="bottom"/>
          </w:tcPr>
          <w:p>
            <w:pPr>
              <w:spacing w:after="0"/>
              <w:rPr>
                <w:sz w:val="16"/>
                <w:szCs w:val="16"/>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Svai Sanford</w:t>
            </w: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Talat Imran</w:t>
            </w:r>
          </w:p>
        </w:tc>
        <w:tc>
          <w:tcPr>
            <w:tcW w:w="94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Svai Sanford</w:t>
            </w:r>
          </w:p>
        </w:tc>
      </w:tr>
      <w:tr>
        <w:trPr>
          <w:trHeight w:val="17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9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94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bl>
    <w:p>
      <w:pPr>
        <w:spacing w:after="0" w:line="180" w:lineRule="exact"/>
        <w:rPr>
          <w:sz w:val="20"/>
          <w:szCs w:val="20"/>
          <w:color w:val="auto"/>
        </w:rPr>
      </w:pPr>
    </w:p>
    <w:p>
      <w:pPr>
        <w:ind w:left="1160" w:right="1199"/>
        <w:spacing w:after="0" w:line="267"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905510</wp:posOffset>
            </wp:positionV>
            <wp:extent cx="56038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endash "/>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69" Type="http://schemas.openxmlformats.org/officeDocument/2006/relationships/hyperlink" Target="https://www.sec.gov/Archives/edgar/data/1856725/000119312521223596/d151628dex31.htm" TargetMode="External"/><Relationship Id="rId270" Type="http://schemas.openxmlformats.org/officeDocument/2006/relationships/hyperlink" Target="https://www.sec.gov/Archives/edgar/data/1856725/000119312521211922/d151628dex34.htm" TargetMode="External"/><Relationship Id="rId271" Type="http://schemas.openxmlformats.org/officeDocument/2006/relationships/hyperlink" Target="https://www.sec.gov/Archives/edgar/data/1856725/000119312525122872/d94517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2025-08-07T15:32:42Z</dcterms:created>
  <dcterms:modified xsi:type="dcterms:W3CDTF">2025-08-07T15:32:42Z</dcterms:modified>
</cp:coreProperties>
</file>