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32026_040701.xml.htm"/>
      <w:bookmarkStart w:id="1" w:name="ksform407232026_0407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IMRAN MIR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RANI THERAPEUTICS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2051 RINGWOOD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Rani Therapeutics Holdings, Inc.</w:t>
              </w:r>
            </w:hyperlink>
            <w:r>
              <w:rPr/>
              <w:t xml:space="preserve"> [ </w:t>
            </w:r>
            <w:r>
              <w:rPr>
                <w:rFonts w:ascii="Times;serif" w:hAnsi="Times;serif"/>
                <w:color w:val="0000FF"/>
                <w:sz w:val="24"/>
                <w:shd w:fill="FFFFFF" w:val="clear"/>
              </w:rPr>
              <w:t>RANI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9"/>
        <w:gridCol w:w="901"/>
        <w:gridCol w:w="772"/>
        <w:gridCol w:w="598"/>
        <w:gridCol w:w="342"/>
        <w:gridCol w:w="913"/>
        <w:gridCol w:w="437"/>
        <w:gridCol w:w="700"/>
        <w:gridCol w:w="1345"/>
        <w:gridCol w:w="975"/>
        <w:gridCol w:w="10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0.69</w:t>
            </w:r>
            <w:r>
              <w:rPr>
                <w:rFonts w:ascii="Times;serif" w:hAnsi="Times;serif"/>
                <w:color w:val="008000"/>
                <w:position w:val="7"/>
                <w:sz w:val="16"/>
                <w:sz w:val="20"/>
                <w:shd w:fill="FFFFFF" w:val="clear"/>
              </w:rPr>
              <w:t>(1)</w:t>
            </w:r>
          </w:p>
        </w:tc>
        <w:tc>
          <w:tcPr>
            <w:tcW w:w="13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2,119,334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74,139</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1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22,660,053</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 shares were purchased in multiple transactions at prices ranging from $0.688 to $0.69,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a General Partner of InCube Ventures II, L.P. and Rani Investment Corp. InCube Labs, L.L.C. is wholly-owned by the Reporting Person and his family. Represents 52,781 shares of Class A Common Stock of the Issuer held by InCube Ventures II, L.P., 13,664 shares of Class A Common Stock of the Issuer held by InCube Labs, L.L.C., and 7,694 Class A Shares held by Rani Investment Corp. The Reporting Person disclaims beneficial ownership of these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a General Partner of InCube Ventures II, L.P., and InCube Labs, LLC is wholly-owned by the Reporting Person and his family. Represents 22,411,124 Class B Shares held by InCube Labs, LLC and 248,929 Class B Shares held by InCube Ventures II, L.P. The Reporting Person disclaims beneficial ownership of these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Mir A Imran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31686" TargetMode="External"/><Relationship Id="rId5" Type="http://schemas.openxmlformats.org/officeDocument/2006/relationships/hyperlink" Target="http://www.sec.gov/cgi-bin/browse-edgar?action=getcompany&amp;CIK=0001856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807</Words>
  <Characters>4301</Characters>
  <CharactersWithSpaces>5031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