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00" w:type="dxa"/>
            <w:vAlign w:val="bottom"/>
            <w:gridSpan w:val="2"/>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Imran Talat</w:t>
              </w:r>
            </w:hyperlink>
          </w:p>
        </w:tc>
        <w:tc>
          <w:tcPr>
            <w:tcW w:w="9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Rani Therapeutics Holdings,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RANI</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RANI THERAPEUTICS LLC</w:t>
            </w:r>
          </w:p>
        </w:tc>
        <w:tc>
          <w:tcPr>
            <w:tcW w:w="2980" w:type="dxa"/>
            <w:vAlign w:val="bottom"/>
            <w:gridSpan w:val="3"/>
          </w:tcPr>
          <w:p>
            <w:pPr>
              <w:ind w:left="160"/>
              <w:spacing w:after="0"/>
              <w:rPr>
                <w:sz w:val="20"/>
                <w:szCs w:val="20"/>
                <w:color w:val="auto"/>
              </w:rPr>
            </w:pPr>
            <w:r>
              <w:rPr>
                <w:rFonts w:ascii="Arial" w:cs="Arial" w:eastAsia="Arial" w:hAnsi="Arial"/>
                <w:sz w:val="17"/>
                <w:szCs w:val="17"/>
                <w:color w:val="0000FF"/>
              </w:rPr>
              <w:t>03/22/2023</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2051 RINGWOOD AVE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0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00" w:type="dxa"/>
            <w:vAlign w:val="bottom"/>
          </w:tcPr>
          <w:p>
            <w:pPr>
              <w:ind w:left="980"/>
              <w:spacing w:after="0"/>
              <w:rPr>
                <w:sz w:val="20"/>
                <w:szCs w:val="20"/>
                <w:color w:val="auto"/>
              </w:rPr>
            </w:pPr>
            <w:r>
              <w:rPr>
                <w:rFonts w:ascii="Arial" w:cs="Arial" w:eastAsia="Arial" w:hAnsi="Arial"/>
                <w:sz w:val="17"/>
                <w:szCs w:val="17"/>
                <w:color w:val="0000FF"/>
              </w:rPr>
              <w:t>CEO</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95131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03/22/2023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7,988</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5.95</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90,945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withheld by and surrendered to the Issuer on March 22, 2023, to satisfy tax withholding obligations that arose in connection with the vesting of the restricted stock units granted to Mr. Imran on March 22, 2022.</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12,343 shares held by VH Moll, L.P. The Reporting Person disclaims beneficial ownership of these securities except to the extent of his pecuniary interest therein.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Talat Imran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03/24/2023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9579"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2023-03-24T20:19:03Z</dcterms:created>
  <dcterms:modified xsi:type="dcterms:W3CDTF">2023-03-24T20:19:03Z</dcterms:modified>
</cp:coreProperties>
</file>