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50407.htm"/>
      <w:bookmarkStart w:id="1" w:name="ksrani202504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474" w:type="dxa"/>
        <w:jc w:val="left"/>
        <w:tblInd w:w="0" w:type="dxa"/>
        <w:tblLayout w:type="fixed"/>
        <w:tblCellMar>
          <w:top w:w="28" w:type="dxa"/>
          <w:left w:w="28" w:type="dxa"/>
          <w:bottom w:w="28" w:type="dxa"/>
          <w:right w:w="28" w:type="dxa"/>
        </w:tblCellMar>
      </w:tblPr>
      <w:tblGrid>
        <w:gridCol w:w="5474"/>
      </w:tblGrid>
      <w:tr>
        <w:trPr/>
        <w:tc>
          <w:tcPr>
            <w:tcW w:w="5474" w:type="dxa"/>
            <w:tcBorders/>
            <w:vAlign w:val="center"/>
          </w:tcPr>
          <w:p>
            <w:pPr>
              <w:pStyle w:val="TableContents"/>
              <w:bidi w:val="0"/>
              <w:spacing w:before="0" w:after="283"/>
              <w:jc w:val="left"/>
              <w:rPr>
                <w:sz w:val="4"/>
                <w:szCs w:val="4"/>
              </w:rPr>
            </w:pPr>
            <w:r>
              <w:rPr>
                <w:sz w:val="4"/>
                <w:szCs w:val="4"/>
              </w:rPr>
            </w:r>
          </w:p>
        </w:tc>
      </w:tr>
      <w:tr>
        <w:trPr/>
        <w:tc>
          <w:tcPr>
            <w:tcW w:w="547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April 07,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4.01 Changes in Registrant’s Certifying Accountant.</w:t>
      </w:r>
    </w:p>
    <w:p>
      <w:pPr>
        <w:pStyle w:val="TextBody"/>
        <w:bidi w:val="0"/>
        <w:jc w:val="left"/>
        <w:rPr>
          <w:rFonts w:ascii="Times New Roman" w:hAnsi="Times New Roman"/>
          <w:color w:val="000000"/>
          <w:sz w:val="20"/>
        </w:rPr>
      </w:pPr>
      <w:r>
        <w:rPr>
          <w:rFonts w:ascii="Times New Roman" w:hAnsi="Times New Roman"/>
          <w:color w:val="000000"/>
          <w:sz w:val="20"/>
        </w:rPr>
        <w:t>(a) Resignation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1, 2024, CBIZ CPAs P.C. acquired the attest business of Marcum LLP (“Marcum”). On April 7, 2025, Marcum resigned as the independent registered public accounting firm of Rani Therapeutics Holdings, Inc. (the “Company”). The Audit Committee of the Board of Directors of the Company (the “Audit Committee”) accepted Marcum’s resignation.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report of Marcum on the Company’s consolidated financial statements for the fiscal year ended December 31, 2024 did not contain an adverse opinion or a disclaimer of opinion, and was not qualified or modified as to uncertainty, audit scope or accounting principles, except that the report of the Company’s consolidated financial statements for the year ended December 31, 2024 contained an explanatory paragraph which noted that there was substantial doubt about the Company’s ability to continue as a 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year ended December 31, 2024, and the subsequent interim period through April 7, 2025, there have been no “disagreements” (as defined in Item 304(a)(1)(iv) of Regulation S-K and the rules and regulations of the U.S. Securities and Exchange Commission (the “SEC”)) with Marcum on any matter of accounting principles or practices, financial statement disclosure or auditing scope or procedure, which disagreements if not resolved to the satisfaction of Marcum would have caused Marcum to make reference there in its reports on the consolidated financing statements for such years. During the fiscal year ended December 31, 2024, and subsequent interim period through April 7, 2025, there have been no “reportable events” (as defined in Item 304(a)(1)(v) of Regulation 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provided Marcum with a copy of the disclosure it is making herein in response to Item 304(a) of Regulation S-K, and requested that Marcum furnish the Company with a copy of its letter addressed to the SEC, pursuant to Item 304(a)(3) of Regulation S-K, stating whether or not Marcum agrees with the statements related to them made by the Company in this report. A copy of Marcum's letter to the SEC dated April 8, 2025 is attached as Exhibit 16.1 to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Newly Engaged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approved the appointment of CBIZ CPAs P.C. ("CBIZ") as the Company's new independent registered public accounting firm on April 7, 2025, with immediate effect, for the fiscal year ending December 31, 2025. During the fiscal years ended December 31, 2023 and December 31, 2024 and the subsequent interim period through April 7, 2025, neither the Company, nor anyone on its behalf, consulted CBIZ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CBIZ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8106" w:type="dxa"/>
        <w:jc w:val="left"/>
        <w:tblInd w:w="0" w:type="dxa"/>
        <w:tblLayout w:type="fixed"/>
        <w:tblCellMar>
          <w:top w:w="28" w:type="dxa"/>
          <w:left w:w="28" w:type="dxa"/>
          <w:bottom w:w="28" w:type="dxa"/>
          <w:right w:w="28" w:type="dxa"/>
        </w:tblCellMar>
      </w:tblPr>
      <w:tblGrid>
        <w:gridCol w:w="811"/>
        <w:gridCol w:w="109"/>
        <w:gridCol w:w="7186"/>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6_1.htm">
              <w:r>
                <w:rPr>
                  <w:rStyle w:val="InternetLink"/>
                  <w:rFonts w:ascii="Times New Roman" w:hAnsi="Times New Roman"/>
                  <w:color w:val="0000FF"/>
                  <w:sz w:val="20"/>
                  <w:u w:val="single"/>
                </w:rPr>
                <w:t>Letter of Marcum LLP to the Securities and Exchange Commission dated April 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14" w:type="dxa"/>
        <w:jc w:val="left"/>
        <w:tblInd w:w="0" w:type="dxa"/>
        <w:tblLayout w:type="fixed"/>
        <w:tblCellMar>
          <w:top w:w="28" w:type="dxa"/>
          <w:left w:w="28" w:type="dxa"/>
          <w:bottom w:w="28" w:type="dxa"/>
          <w:right w:w="28" w:type="dxa"/>
        </w:tblCellMar>
      </w:tblPr>
      <w:tblGrid>
        <w:gridCol w:w="556"/>
        <w:gridCol w:w="118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9,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Svai Sanford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rani-ex16_1.htm"/>
      <w:bookmarkStart w:id="3" w:name="ksraniex16_1"/>
      <w:bookmarkEnd w:id="2"/>
      <w:bookmarkEnd w:id="3"/>
      <w:r>
        <w:rPr>
          <w:rFonts w:ascii="Times New Roman" w:hAnsi="Times New Roman"/>
          <w:b/>
          <w:color w:val="000000"/>
          <w:sz w:val="24"/>
        </w:rPr>
        <w:t>Exhibit 16.1</w:t>
      </w:r>
      <w:r>
        <w:br w:type="page"/>
      </w:r>
    </w:p>
    <w:p>
      <w:pPr>
        <w:pStyle w:val="TextBody"/>
        <w:bidi w:val="0"/>
        <w:jc w:val="left"/>
        <w:rPr/>
      </w:pPr>
      <w:r>
        <w:rPr/>
        <w:t> </w:t>
      </w:r>
    </w:p>
    <w:p>
      <w:pPr>
        <w:pStyle w:val="TextBody"/>
        <w:bidi w:val="0"/>
        <w:jc w:val="center"/>
        <w:rPr/>
      </w:pPr>
      <w:r>
        <w:rPr/>
        <w:drawing>
          <wp:inline distT="0" distB="0" distL="0" distR="0">
            <wp:extent cx="18383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4762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April 8,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Securities and Exchange Commission</w:t>
      </w:r>
    </w:p>
    <w:p>
      <w:pPr>
        <w:pStyle w:val="TextBody"/>
        <w:bidi w:val="0"/>
        <w:jc w:val="left"/>
        <w:rPr>
          <w:rFonts w:ascii="Times New Roman" w:hAnsi="Times New Roman"/>
          <w:color w:val="000000"/>
          <w:sz w:val="24"/>
        </w:rPr>
      </w:pPr>
      <w:r>
        <w:rPr>
          <w:rFonts w:ascii="Times New Roman" w:hAnsi="Times New Roman"/>
          <w:color w:val="000000"/>
          <w:sz w:val="24"/>
        </w:rPr>
        <w:t>100 F Street, N.E.</w:t>
      </w:r>
    </w:p>
    <w:p>
      <w:pPr>
        <w:pStyle w:val="TextBody"/>
        <w:bidi w:val="0"/>
        <w:jc w:val="left"/>
        <w:rPr>
          <w:rFonts w:ascii="Times New Roman" w:hAnsi="Times New Roman"/>
          <w:color w:val="000000"/>
          <w:sz w:val="24"/>
        </w:rPr>
      </w:pPr>
      <w:r>
        <w:rPr>
          <w:rFonts w:ascii="Times New Roman" w:hAnsi="Times New Roman"/>
          <w:color w:val="000000"/>
          <w:sz w:val="24"/>
        </w:rPr>
        <w:t>Washington, DC 20549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Commissioners: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have read the statements made by Rani Therapeutics Holdings, Inc. under Item 4.01 of its Form 8-K dated April 7, 2025. We agree with the statements concerning our Firm in such Form 8-K; we are not in a position to agree or disagree with other statements of Rani Therapeutics Holdings, Inc. contained therein.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120" w:after="283"/>
        <w:jc w:val="left"/>
        <w:rPr/>
      </w:pPr>
      <w:r>
        <w:rPr/>
        <w:drawing>
          <wp:inline distT="0" distB="0" distL="0" distR="0">
            <wp:extent cx="14382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38275" cy="333375"/>
                    </a:xfrm>
                    <a:prstGeom prst="rect">
                      <a:avLst/>
                    </a:prstGeom>
                  </pic:spPr>
                </pic:pic>
              </a:graphicData>
            </a:graphic>
          </wp:inline>
        </w:drawing>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Marcum LLP</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Arial" w:hAnsi="Arial"/>
          <w:b/>
          <w:color w:val="231F20"/>
          <w:sz w:val="15"/>
        </w:rPr>
        <w:t xml:space="preserve">Marcum LLP </w:t>
      </w:r>
      <w:r>
        <w:rPr>
          <w:rFonts w:ascii="Times New Roman" w:hAnsi="Times New Roman"/>
          <w:sz w:val="20"/>
        </w:rPr>
        <w:drawing>
          <wp:inline distT="0" distB="0" distL="0" distR="0">
            <wp:extent cx="76200" cy="9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 cy="95250"/>
                    </a:xfrm>
                    <a:prstGeom prst="rect">
                      <a:avLst/>
                    </a:prstGeom>
                  </pic:spPr>
                </pic:pic>
              </a:graphicData>
            </a:graphic>
          </wp:inline>
        </w:drawing>
      </w:r>
      <w:r>
        <w:rPr>
          <w:rFonts w:ascii="Times New Roman" w:hAnsi="Times New Roman"/>
          <w:color w:val="231F20"/>
          <w:sz w:val="20"/>
        </w:rPr>
        <w:t xml:space="preserve"> </w:t>
      </w:r>
      <w:r>
        <w:rPr>
          <w:rFonts w:ascii="Arial" w:hAnsi="Arial"/>
          <w:color w:val="231F20"/>
          <w:sz w:val="15"/>
        </w:rPr>
        <w:t xml:space="preserve">One Montgomery Street </w:t>
      </w:r>
      <w:r>
        <w:rPr>
          <w:rFonts w:ascii="Times New Roman" w:hAnsi="Times New Roman"/>
          <w:sz w:val="20"/>
        </w:rPr>
        <w:drawing>
          <wp:inline distT="0" distB="0" distL="0" distR="0">
            <wp:extent cx="76200" cy="9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 cy="95250"/>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15"/>
        </w:rPr>
        <w:t xml:space="preserve">Suite 1700 </w:t>
      </w:r>
      <w:r>
        <w:rPr>
          <w:rFonts w:ascii="Times New Roman" w:hAnsi="Times New Roman"/>
          <w:sz w:val="20"/>
        </w:rPr>
        <w:drawing>
          <wp:inline distT="0" distB="0" distL="0" distR="0">
            <wp:extent cx="76200" cy="95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 cy="95250"/>
                    </a:xfrm>
                    <a:prstGeom prst="rect">
                      <a:avLst/>
                    </a:prstGeom>
                  </pic:spPr>
                </pic:pic>
              </a:graphicData>
            </a:graphic>
          </wp:inline>
        </w:drawing>
      </w:r>
      <w:r>
        <w:rPr>
          <w:rFonts w:ascii="Arial" w:hAnsi="Arial"/>
          <w:color w:val="231F20"/>
          <w:sz w:val="15"/>
        </w:rPr>
        <w:t xml:space="preserve">San Francisco, California 94104 </w:t>
      </w:r>
      <w:r>
        <w:rPr>
          <w:rFonts w:ascii="Times New Roman" w:hAnsi="Times New Roman"/>
          <w:sz w:val="20"/>
        </w:rPr>
        <w:drawing>
          <wp:inline distT="0" distB="0" distL="0" distR="0">
            <wp:extent cx="76200" cy="95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 cy="95250"/>
                    </a:xfrm>
                    <a:prstGeom prst="rect">
                      <a:avLst/>
                    </a:prstGeom>
                  </pic:spPr>
                </pic:pic>
              </a:graphicData>
            </a:graphic>
          </wp:inline>
        </w:drawing>
      </w:r>
      <w:r>
        <w:rPr>
          <w:rFonts w:ascii="Times New Roman" w:hAnsi="Times New Roman"/>
          <w:color w:val="000000"/>
          <w:sz w:val="20"/>
        </w:rPr>
        <w:t xml:space="preserve"> </w:t>
      </w:r>
      <w:r>
        <w:rPr>
          <w:rFonts w:ascii="Arial" w:hAnsi="Arial"/>
          <w:b/>
          <w:color w:val="231F20"/>
          <w:sz w:val="15"/>
        </w:rPr>
        <w:t>Phone</w:t>
      </w:r>
      <w:r>
        <w:rPr>
          <w:rFonts w:ascii="Times New Roman" w:hAnsi="Times New Roman"/>
          <w:color w:val="231F20"/>
          <w:sz w:val="20"/>
        </w:rPr>
        <w:t xml:space="preserve"> </w:t>
      </w:r>
      <w:r>
        <w:rPr>
          <w:rFonts w:ascii="Arial" w:hAnsi="Arial"/>
          <w:color w:val="231F20"/>
          <w:sz w:val="15"/>
        </w:rPr>
        <w:t xml:space="preserve">415.432.6200 </w:t>
      </w:r>
      <w:r>
        <w:rPr>
          <w:rFonts w:ascii="Times New Roman" w:hAnsi="Times New Roman"/>
          <w:sz w:val="20"/>
        </w:rPr>
        <w:drawing>
          <wp:inline distT="0" distB="0" distL="0" distR="0">
            <wp:extent cx="76200" cy="95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 cy="95250"/>
                    </a:xfrm>
                    <a:prstGeom prst="rect">
                      <a:avLst/>
                    </a:prstGeom>
                  </pic:spPr>
                </pic:pic>
              </a:graphicData>
            </a:graphic>
          </wp:inline>
        </w:drawing>
      </w:r>
      <w:r>
        <w:rPr>
          <w:rFonts w:ascii="Times New Roman" w:hAnsi="Times New Roman"/>
          <w:color w:val="000000"/>
          <w:sz w:val="20"/>
        </w:rPr>
        <w:t xml:space="preserve"> </w:t>
      </w:r>
      <w:r>
        <w:rPr>
          <w:rFonts w:ascii="Arial" w:hAnsi="Arial"/>
          <w:b/>
          <w:color w:val="231F20"/>
          <w:sz w:val="15"/>
        </w:rPr>
        <w:t>Fax</w:t>
      </w:r>
      <w:r>
        <w:rPr>
          <w:rFonts w:ascii="Times New Roman" w:hAnsi="Times New Roman"/>
          <w:color w:val="231F20"/>
          <w:sz w:val="20"/>
        </w:rPr>
        <w:t xml:space="preserve"> </w:t>
      </w:r>
      <w:r>
        <w:rPr>
          <w:rFonts w:ascii="Arial" w:hAnsi="Arial"/>
          <w:color w:val="231F20"/>
          <w:sz w:val="15"/>
        </w:rPr>
        <w:t xml:space="preserve">415.432.6201 </w:t>
      </w:r>
      <w:r>
        <w:rPr>
          <w:rFonts w:ascii="Times New Roman" w:hAnsi="Times New Roman"/>
          <w:sz w:val="20"/>
        </w:rPr>
        <w:drawing>
          <wp:inline distT="0" distB="0" distL="0" distR="0">
            <wp:extent cx="76200" cy="95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 cy="95250"/>
                    </a:xfrm>
                    <a:prstGeom prst="rect">
                      <a:avLst/>
                    </a:prstGeom>
                  </pic:spPr>
                </pic:pic>
              </a:graphicData>
            </a:graphic>
          </wp:inline>
        </w:drawing>
      </w:r>
      <w:r>
        <w:rPr>
          <w:rFonts w:ascii="Times New Roman" w:hAnsi="Times New Roman"/>
          <w:color w:val="231F20"/>
          <w:sz w:val="20"/>
        </w:rPr>
        <w:t xml:space="preserve"> </w:t>
      </w:r>
      <w:r>
        <w:rPr>
          <w:rFonts w:ascii="Arial" w:hAnsi="Arial"/>
          <w:b/>
          <w:color w:val="231F20"/>
          <w:sz w:val="15"/>
        </w:rPr>
        <w:t>marcumllp.com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1020</Words>
  <Characters>5538</Characters>
  <CharactersWithSpaces>6553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