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November 6, 2025, Rani Therapeutics Holdings, Inc. (the “Company”) issued a press release providing a corporate update and announcing its financial results for the three and nine months ended September 30, 2025. The full text of the press release is furnished as Exhibit 99.1 to this Current Report on Form 8-K and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0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Rani Therapeutics Holdings, Inc. dated November 6, 2025</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By:</w:t>
        <w:tab/>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6182995</wp:posOffset>
            </wp:positionH>
            <wp:positionV relativeFrom="page">
              <wp:posOffset>500380</wp:posOffset>
            </wp:positionV>
            <wp:extent cx="1156970"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397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Third Quarter 2025 Financial Results; Provides Corporate Update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Announced up to $1.085 billion collaboration with Chugai Pharmaceutical Co. for multiple high-value therapeutics -</w:t>
      </w:r>
    </w:p>
    <w:p>
      <w:pPr>
        <w:spacing w:after="0" w:line="117" w:lineRule="exact"/>
        <w:rPr>
          <w:sz w:val="20"/>
          <w:szCs w:val="20"/>
          <w:color w:val="auto"/>
        </w:rPr>
      </w:pPr>
    </w:p>
    <w:p>
      <w:pPr>
        <w:ind w:left="360" w:hanging="106"/>
        <w:spacing w:after="0"/>
        <w:tabs>
          <w:tab w:leader="none" w:pos="3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Completed $60.3 million oversubscribed private placement led by Samsara BioCapital with participation from RA Capital Management, Anomaly,</w:t>
      </w:r>
    </w:p>
    <w:p>
      <w:pPr>
        <w:spacing w:after="0" w:line="29" w:lineRule="exact"/>
        <w:rPr>
          <w:rFonts w:ascii="Times New Roman" w:cs="Times New Roman" w:eastAsia="Times New Roman" w:hAnsi="Times New Roman"/>
          <w:sz w:val="18"/>
          <w:szCs w:val="18"/>
          <w:i w:val="1"/>
          <w:iCs w:val="1"/>
          <w:color w:val="auto"/>
        </w:rPr>
      </w:pPr>
    </w:p>
    <w:p>
      <w:pPr>
        <w:ind w:left="4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Special Situations Funds, and Invus –</w:t>
      </w:r>
    </w:p>
    <w:p>
      <w:pPr>
        <w:spacing w:after="0" w:line="96" w:lineRule="exact"/>
        <w:rPr>
          <w:rFonts w:ascii="Times New Roman" w:cs="Times New Roman" w:eastAsia="Times New Roman" w:hAnsi="Times New Roman"/>
          <w:sz w:val="18"/>
          <w:szCs w:val="18"/>
          <w:i w:val="1"/>
          <w:iCs w:val="1"/>
          <w:color w:val="auto"/>
        </w:rPr>
      </w:pPr>
    </w:p>
    <w:p>
      <w:pPr>
        <w:ind w:left="2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Appointed Abraham Bassan and Vasudev Bailey, Ph.D. to the Board of Directors –</w:t>
      </w:r>
    </w:p>
    <w:p>
      <w:pPr>
        <w:spacing w:after="0" w:line="117" w:lineRule="exact"/>
        <w:rPr>
          <w:rFonts w:ascii="Times New Roman" w:cs="Times New Roman" w:eastAsia="Times New Roman" w:hAnsi="Times New Roman"/>
          <w:sz w:val="18"/>
          <w:szCs w:val="18"/>
          <w:i w:val="1"/>
          <w:iCs w:val="1"/>
          <w:color w:val="auto"/>
        </w:rPr>
      </w:pPr>
    </w:p>
    <w:p>
      <w:pPr>
        <w:ind w:left="4080" w:hanging="112"/>
        <w:spacing w:after="0"/>
        <w:tabs>
          <w:tab w:leader="none" w:pos="408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runway expected to extend into 2028 -</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November 6, 2025 </w:t>
      </w:r>
      <w:r>
        <w:rPr>
          <w:rFonts w:ascii="Times New Roman" w:cs="Times New Roman" w:eastAsia="Times New Roman" w:hAnsi="Times New Roman"/>
          <w:sz w:val="18"/>
          <w:szCs w:val="18"/>
          <w:color w:val="auto"/>
        </w:rPr>
        <w:t>-- Rani Therapeutics Holdings, Inc. (“Rani Therapeutics” or “Rani”) (Nasdaq: RANI),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company focused on the oral delivery of biologics and drugs, today reported financial results for the third quarter ended September 30, 2025 and provided a corporate update.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proud to begin a new chapter for Rani, with world-class pharma partners and top-tier biotech investors demonstrating confidence in our platform and vision to transform injectable biologics into oral therapies,” said Talat Imran, Chief Executive Officer of Rani Therapeutics. “Our collaboration with Chugai, which could reach a total value of over $1 billion, together with the oversubscribed $60.3 million private placement, provides validation of the transformative potential of our RaniPill® platform. With our cash runway expected to extend into 2028 and Abraham Bassan and Vasudev Bailey, Ph.D. joining our Board of Directors, we are well-positioned to execute on our strategy as we enter a new era of growth. Looking ahead, we remain focused on initiating a Phase 1 trial for RT-114, our novel oral therapy targeting obesity, by the end of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Highlights:</w:t>
      </w:r>
    </w:p>
    <w:p>
      <w:pPr>
        <w:spacing w:after="0" w:line="117" w:lineRule="exact"/>
        <w:rPr>
          <w:sz w:val="20"/>
          <w:szCs w:val="20"/>
          <w:color w:val="auto"/>
        </w:rPr>
      </w:pPr>
    </w:p>
    <w:p>
      <w:pPr>
        <w:jc w:val="both"/>
        <w:ind w:left="760" w:hanging="378"/>
        <w:spacing w:after="0" w:line="25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and License Agreement up to $1.085 Billion with Chugai. </w:t>
      </w:r>
      <w:r>
        <w:rPr>
          <w:rFonts w:ascii="Times New Roman" w:cs="Times New Roman" w:eastAsia="Times New Roman" w:hAnsi="Times New Roman"/>
          <w:sz w:val="18"/>
          <w:szCs w:val="18"/>
          <w:color w:val="auto"/>
        </w:rPr>
        <w:t>In October 2025, Rani Therapeutics entered into a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License Agreement with Chugai to develop an oral therapy combining the RaniPill® platform with Chugai’s rare disease antibody. The agreement includes an option for Chugai to expand its rights to up to five additional drug targets under similar terms, potentially bringing the total deal value to $1.085 billion. This partnership highlights the transformative potential of the RaniPill® to enable oral delivery of complex biologics, traditionally administered via injection, offering a pathway to improved patient adherence and broader therapeutic accessibility.</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$60.3 Million Oversubscribed Private Placement. </w:t>
      </w:r>
      <w:r>
        <w:rPr>
          <w:rFonts w:ascii="Times New Roman" w:cs="Times New Roman" w:eastAsia="Times New Roman" w:hAnsi="Times New Roman"/>
          <w:sz w:val="18"/>
          <w:szCs w:val="18"/>
          <w:color w:val="auto"/>
        </w:rPr>
        <w:t>In October 2025, concurrently with the Chugai Collaboration and License Agreement,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had entered into a securities purchase agreement with institutional investors led by Samsara BioCapital, RA Capital Management, Anomaly, Special Situations Funds, Invus, and Founder and Chairman, Mir Imran, for the purchase and sale of shares of Rani Therapeutics’ Class A common stock, pre-funded warrants and common stock purchase warrants for the aggregate purchase price of approximately $60.3 million, inclusive of conversion of $6.0 million of outstanding debt by Avenue Venture Opportunities Fund, on the same terms as the other investors in the private placement, reducing the Company’s total debt obligations.</w:t>
      </w:r>
    </w:p>
    <w:p>
      <w:pPr>
        <w:spacing w:after="0" w:line="182"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Appointed Abraham Bassan and Vasudev Bailey, Ph.D. to Board of Directors. </w:t>
      </w:r>
      <w:r>
        <w:rPr>
          <w:rFonts w:ascii="Times New Roman" w:cs="Times New Roman" w:eastAsia="Times New Roman" w:hAnsi="Times New Roman"/>
          <w:sz w:val="18"/>
          <w:szCs w:val="18"/>
          <w:color w:val="auto"/>
        </w:rPr>
        <w:t>In October 2025, concurrently with the closing of the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Rani announced the appointment of Abraham (“Abe”) Bassan, Partner at Samsara BioCapital, and Vasudev Bailey, Ph.D., General Partner at Anomaly Ventures to its Board of Directors.</w:t>
      </w:r>
    </w:p>
    <w:p>
      <w:pPr>
        <w:spacing w:after="0" w:line="170"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Presented Preclinical Data on Semaglutide Delivered Orally via RaniPill® at ObesityWeek® 2025. </w:t>
      </w:r>
      <w:r>
        <w:rPr>
          <w:rFonts w:ascii="Times New Roman" w:cs="Times New Roman" w:eastAsia="Times New Roman" w:hAnsi="Times New Roman"/>
          <w:sz w:val="18"/>
          <w:szCs w:val="18"/>
          <w:color w:val="auto"/>
        </w:rPr>
        <w:t>In November 2025, Rani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preclinical data demonstrating that oral semaglutide administered via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RaniPill® (RT-116) demonstrated comparable bioavailability, pharmacokinetics and weight loss to subcutaneous administration.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Near-Term Milestone Expectations:</w:t>
      </w:r>
    </w:p>
    <w:p>
      <w:pPr>
        <w:spacing w:after="0" w:line="229"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 clinical trial of RT-114, our novel oral therapy targeting obesity, by the end of 2025. The upcoming trial will evaluate safety, tolerability, and pharmacokinetics, laying the groundwork for future development phases.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117" w:lineRule="exact"/>
        <w:rPr>
          <w:sz w:val="20"/>
          <w:szCs w:val="20"/>
          <w:color w:val="auto"/>
        </w:rPr>
      </w:pPr>
    </w:p>
    <w:p>
      <w:pPr>
        <w:jc w:val="both"/>
        <w:ind w:left="760" w:hanging="378"/>
        <w:spacing w:after="0" w:line="26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September 30, 2025 totaled $4.1 million, compared to $27.6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 Rani expects its cash, and cash equivalents, including the additional funds from the private placement closed in October and the initial upfront payment and expected technology transfer milestone from the agreement with Chugai, to be sufficient to fund its operations into 2028.</w:t>
      </w:r>
    </w:p>
    <w:p>
      <w:pPr>
        <w:spacing w:after="0" w:line="68"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months ended September 30, 2025 were $3.2 million, compared to $6.2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2024. The decrease of $3.0 million was primarily attributed to a $2.4 million reduction in compensation costs resulting from lower headcount, a $0.4 million decrease in expenses related to facilities, materials and supplies, and a $0.2 million decrease in third-party services.</w:t>
      </w:r>
    </w:p>
    <w:p>
      <w:pPr>
        <w:spacing w:after="0" w:line="62" w:lineRule="exact"/>
        <w:rPr>
          <w:rFonts w:ascii="Times New Roman" w:cs="Times New Roman" w:eastAsia="Times New Roman" w:hAnsi="Times New Roman"/>
          <w:sz w:val="18"/>
          <w:szCs w:val="18"/>
          <w:color w:val="auto"/>
        </w:rPr>
      </w:pPr>
    </w:p>
    <w:p>
      <w:pPr>
        <w:jc w:val="both"/>
        <w:ind w:left="760" w:right="2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months ended September 30, 2025 were $4.0 million, compared to $5.6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2024. The decrease of $1.6 million was primarily attributed to lower compensation costs of $1.3 million and a reduction of $0.3 million in third-party services.</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for </w:t>
      </w:r>
      <w:r>
        <w:rPr>
          <w:rFonts w:ascii="Times New Roman" w:cs="Times New Roman" w:eastAsia="Times New Roman" w:hAnsi="Times New Roman"/>
          <w:sz w:val="18"/>
          <w:szCs w:val="18"/>
          <w:color w:val="auto"/>
        </w:rPr>
        <w:t>the three months ended September 30, 2025 was $7.9 million, compared to $12.7 million for the same period in 2024,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expense of $2.3 million for the three months ended September 30, 2025, compared to $4.1 million for the same period in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our belief that the collaboration with Chugai and capital raised from top-tier biotech investors demonstrates confidence and validation in our technology, the potential value and success of our collaboration with Chugai, the transformative potential of the RaniPill® platform, our expectation to be able to fund the Company’s operations into 2028, the potential of the RaniPill® platform to enable oral delivery of complex biologics and to provide a pathway to improved patient adherence and broader therapeutic accessibility, our ability to repay the remaining principle of the debt obligation with Avenue, our belief that we are well-positioned to execute on our strategy, expected initiation of a Phase 1 trial of RT-114 by the end of 2025, the potential for RT-114 to be a novel oral therapy for the treatment of obesity, our belief that the upcoming Phase 1 trial of RT-114 will lay the groundwork for future development phases, the sufficiency of Rani’s cash reserves, the timing and extent of its expenses, and future financial performance. Because such statements are subject to risks and uncertainties, actual results may differ materially from those expressed or implied by such forward-looking statements. Words such as “confident,” “intend,” “potential,” “expect,”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2024,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8"/>
                <w:szCs w:val="18"/>
                <w:color w:val="auto"/>
              </w:rPr>
            </w:pPr>
          </w:p>
        </w:tc>
      </w:tr>
      <w:tr>
        <w:trPr>
          <w:trHeight w:val="210"/>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50"/>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shd w:val="clear" w:color="auto" w:fill="CFF0FC"/>
          </w:tcPr>
          <w:p>
            <w:pPr>
              <w:spacing w:after="0"/>
              <w:rPr>
                <w:sz w:val="21"/>
                <w:szCs w:val="21"/>
                <w:color w:val="auto"/>
              </w:rPr>
            </w:pPr>
          </w:p>
        </w:tc>
      </w:tr>
      <w:tr>
        <w:trPr>
          <w:trHeight w:val="197"/>
        </w:trPr>
        <w:tc>
          <w:tcPr>
            <w:tcW w:w="7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8"/>
                <w:szCs w:val="18"/>
                <w:color w:val="auto"/>
              </w:rPr>
            </w:pPr>
          </w:p>
        </w:tc>
      </w:tr>
      <w:tr>
        <w:trPr>
          <w:trHeight w:val="210"/>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47,941 and 33,430 issued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23,970 and 23,972 issued and</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(122,275)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(102,907)</w:t>
            </w:r>
          </w:p>
        </w:tc>
      </w:tr>
      <w:tr>
        <w:trPr>
          <w:trHeight w:val="20"/>
        </w:trPr>
        <w:tc>
          <w:tcPr>
            <w:tcW w:w="7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(deficit)/equity attributable to Rani Therapeutics Holdings, Inc.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FF0FC"/>
          </w:tcPr>
          <w:p>
            <w:pPr>
              <w:spacing w:after="0"/>
              <w:rPr>
                <w:sz w:val="18"/>
                <w:szCs w:val="18"/>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(deficit)/equity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shd w:val="clear" w:color="auto" w:fill="CFF0FC"/>
          </w:tcPr>
          <w:p>
            <w:pPr>
              <w:spacing w:after="0"/>
              <w:rPr>
                <w:sz w:val="21"/>
                <w:szCs w:val="21"/>
                <w:color w:val="auto"/>
              </w:rPr>
            </w:pPr>
          </w:p>
        </w:tc>
      </w:tr>
      <w:tr>
        <w:trPr>
          <w:trHeight w:val="1837"/>
        </w:trPr>
        <w:tc>
          <w:tcPr>
            <w:tcW w:w="762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-4859655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-4842510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-4842510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-4011295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-3445510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(7,257)</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(38,356)</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(31,876)</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(40,862)</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(2,502)</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(12,508)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(19,791)</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(19,368)</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(21,071)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60" w:type="dxa"/>
            <w:vAlign w:val="bottom"/>
            <w:shd w:val="clear" w:color="auto" w:fill="CFF0FC"/>
          </w:tcPr>
          <w:p>
            <w:pPr>
              <w:ind w:left="60"/>
              <w:spacing w:after="0" w:line="178"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gridSpan w:val="2"/>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4"/>
        </w:trPr>
        <w:tc>
          <w:tcPr>
            <w:tcW w:w="556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Holdings, Inc., basic and diluted</w:t>
            </w:r>
          </w:p>
        </w:tc>
        <w:tc>
          <w:tcPr>
            <w:tcW w:w="340" w:type="dxa"/>
            <w:vAlign w:val="bottom"/>
            <w:gridSpan w:val="2"/>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220" w:type="dxa"/>
            <w:vAlign w:val="bottom"/>
            <w:gridSpan w:val="2"/>
            <w:vMerge w:val="continue"/>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46,444</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28,836</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38,856</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27,071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8"/>
        </w:trPr>
        <w:tc>
          <w:tcPr>
            <w:tcW w:w="5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-2652395</wp:posOffset>
            </wp:positionV>
            <wp:extent cx="10223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-2652395</wp:posOffset>
            </wp:positionV>
            <wp:extent cx="10223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-2652395</wp:posOffset>
            </wp:positionV>
            <wp:extent cx="939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-2652395</wp:posOffset>
            </wp:positionV>
            <wp:extent cx="939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-1936750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-1936750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-1654175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-1654175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-1654175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-1233805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-1233805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-1216660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-1233805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-1216660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2025-11-06T15:53:16Z</dcterms:created>
  <dcterms:modified xsi:type="dcterms:W3CDTF">2025-11-06T15:53:16Z</dcterms:modified>
</cp:coreProperties>
</file>