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December 1, 2025</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0"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Rani Therapeutics Holdings, Inc.</w:t>
      </w:r>
    </w:p>
    <w:p>
      <w:pPr>
        <w:spacing w:after="0" w:line="31" w:lineRule="exact"/>
        <w:rPr>
          <w:sz w:val="24"/>
          <w:szCs w:val="24"/>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 Statement on Form S-3</w:t>
      </w:r>
    </w:p>
    <w:p>
      <w:pPr>
        <w:spacing w:after="0" w:line="9"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File No. 333-291394</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left="4" w:right="100" w:firstLine="440"/>
        <w:spacing w:after="0" w:line="262" w:lineRule="auto"/>
        <w:rPr>
          <w:sz w:val="20"/>
          <w:szCs w:val="20"/>
          <w:color w:val="auto"/>
        </w:rPr>
      </w:pPr>
      <w:r>
        <w:rPr>
          <w:rFonts w:ascii="Times New Roman" w:cs="Times New Roman" w:eastAsia="Times New Roman" w:hAnsi="Times New Roman"/>
          <w:sz w:val="18"/>
          <w:szCs w:val="18"/>
          <w:color w:val="auto"/>
        </w:rPr>
        <w:t>Rani Therapeutics Holdings,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hereby requests that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take appropriate action to cause the above-referenced Registration Statement on Form S-3 to become effective on December 3, 2025, at 4:00 p.m., Eastern Time, or as soon thereafter as is practicable or at such later time as the Registrant may orally request via telephone call to the staff of the Commission. The Registrant hereby authorizes John T. McKenna of Cooley LLP, counsel to the Registrant, to make such request on its behalf.</w:t>
      </w:r>
    </w:p>
    <w:p>
      <w:pPr>
        <w:spacing w:after="0" w:line="180" w:lineRule="exact"/>
        <w:rPr>
          <w:sz w:val="24"/>
          <w:szCs w:val="24"/>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Once the Registration Statement has been declared effective, please orally confirm that event with John T. McKenna of Cooley LLP, counsel to the Registrant, at (650) 843-5059.</w:t>
      </w:r>
    </w:p>
    <w:p>
      <w:pPr>
        <w:spacing w:after="0" w:line="189"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4"/>
          <w:szCs w:val="24"/>
          <w:color w:val="auto"/>
        </w:rPr>
      </w:pPr>
    </w:p>
    <w:tbl>
      <w:tblPr>
        <w:tblLayout w:type="fixed"/>
        <w:tblInd w:w="6624"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Svai Sanford</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Svai Sanford</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4"/>
          <w:szCs w:val="24"/>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Josh Seidenfeld, Cooley LLP</w:t>
      </w:r>
    </w:p>
    <w:p>
      <w:pPr>
        <w:spacing w:after="0" w:line="27" w:lineRule="exact"/>
        <w:rPr>
          <w:sz w:val="24"/>
          <w:szCs w:val="24"/>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T. McKenna, Cooley LLP</w:t>
      </w:r>
    </w:p>
    <w:sectPr>
      <w:pgSz w:w="11900" w:h="16838" w:orient="portrait"/>
      <w:cols w:equalWidth="0" w:num="1">
        <w:col w:w="11024"/>
      </w:cols>
      <w:pgMar w:left="436" w:top="2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
      <w:numFmt w:val="bullet"/>
      <w:start w:val="1"/>
    </w:lvl>
  </w:abstractNum>
  <w:abstractNum w:abstractNumId="1">
    <w:nsid w:val="74B0DC51"/>
    <w:multiLevelType w:val="hybridMultilevel"/>
    <w:lvl w:ilvl="0">
      <w:lvlJc w:val="left"/>
      <w:lvlText w:val="%1:"/>
      <w:numFmt w:val="lowerLetter"/>
      <w:start w:val="29"/>
    </w:lvl>
  </w:abstractNum>
  <w:abstractNum w:abstractNumId="2">
    <w:nsid w:val="19495CFF"/>
    <w:multiLevelType w:val="hybridMultilevel"/>
    <w:lvl w:ilvl="0">
      <w:lvlJc w:val="left"/>
      <w:lvlText w:val=" "/>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2026-04-20T23:08:53Z</dcterms:created>
  <dcterms:modified xsi:type="dcterms:W3CDTF">2026-04-20T23:08:53Z</dcterms:modified>
</cp:coreProperties>
</file>