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82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South Cone Investments Limited</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Partnership</w:t>
        </w:r>
      </w:hyperlink>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6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2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F3</w:t>
            </w:r>
          </w:p>
        </w:tc>
        <w:tc>
          <w:tcPr>
            <w:tcW w:w="13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60"/>
              <w:spacing w:after="0"/>
              <w:rPr>
                <w:sz w:val="20"/>
                <w:szCs w:val="20"/>
                <w:color w:val="auto"/>
              </w:rPr>
            </w:pPr>
            <w:r>
              <w:rPr>
                <w:rFonts w:ascii="Arial" w:cs="Arial" w:eastAsia="Arial" w:hAnsi="Arial"/>
                <w:sz w:val="13"/>
                <w:szCs w:val="13"/>
                <w:color w:val="auto"/>
              </w:rPr>
              <w:t>(State)</w:t>
            </w:r>
          </w:p>
        </w:tc>
        <w:tc>
          <w:tcPr>
            <w:tcW w:w="130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Rani Therapeutics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RANI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04/14/2023</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0"/>
          <w:szCs w:val="20"/>
          <w:color w:val="auto"/>
        </w:rPr>
      </w:pPr>
    </w:p>
    <w:p>
      <w:pPr>
        <w:sectPr>
          <w:pgSz w:w="11900" w:h="16880"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04/14/2023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1,901</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5.2704</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6,835,998</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300" w:type="dxa"/>
            <w:vAlign w:val="bottom"/>
            <w:gridSpan w:val="19"/>
          </w:tcPr>
          <w:p>
            <w:pPr>
              <w:ind w:lef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60" w:type="dxa"/>
            <w:vAlign w:val="bottom"/>
            <w:gridSpan w:val="15"/>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8"/>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F3</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7550000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South Lake One LLC</w:t>
              </w:r>
            </w:hyperlink>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F3</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7550000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80"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1755"/>
                    </a:xfrm>
                    <a:prstGeom prst="rect">
                      <a:avLst/>
                    </a:prstGeom>
                    <a:noFill/>
                  </pic:spPr>
                </pic:pic>
              </a:graphicData>
            </a:graphic>
          </wp:anchor>
        </w:drawing>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$5.20 to $5.29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780"/>
          </w:cols>
          <w:pgMar w:left="500" w:top="260" w:right="6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40"/>
          </w:cols>
          <w:pgMar w:left="500" w:top="260"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260"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4"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2023-04-18T12:52:44Z</dcterms:created>
  <dcterms:modified xsi:type="dcterms:W3CDTF">2023-04-18T12:52:44Z</dcterms:modified>
</cp:coreProperties>
</file>