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80"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6998970" cy="5059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505904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Farquharson Andrew</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800"/>
        <w:spacing w:after="0" w:line="350" w:lineRule="auto"/>
        <w:rPr>
          <w:sz w:val="20"/>
          <w:szCs w:val="20"/>
          <w:color w:val="auto"/>
        </w:rPr>
      </w:pPr>
      <w:r>
        <w:rPr>
          <w:rFonts w:ascii="Arial" w:cs="Arial" w:eastAsia="Arial" w:hAnsi="Arial"/>
          <w:sz w:val="16"/>
          <w:szCs w:val="16"/>
          <w:color w:val="0000FF"/>
        </w:rPr>
        <w:t>C/O RANI THERAPEUTICS LLC 2051 RINGWOOD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0"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Rani Therapeutics Holdings,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RANI</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0000FF"/>
        </w:rPr>
        <w:t>03/07/2022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1" w:right="740" w:firstLine="1"/>
        <w:spacing w:after="0" w:line="253"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106"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19"/>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90" w:lineRule="exact"/>
        <w:rPr>
          <w:sz w:val="24"/>
          <w:szCs w:val="24"/>
          <w:color w:val="auto"/>
        </w:rPr>
      </w:pPr>
    </w:p>
    <w:p>
      <w:pPr>
        <w:sectPr>
          <w:pgSz w:w="11900" w:h="16838" w:orient="portrait"/>
          <w:cols w:equalWidth="0" w:num="3">
            <w:col w:w="3180" w:space="720"/>
            <w:col w:w="3300" w:space="541"/>
            <w:col w:w="3339"/>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3600" w:type="dxa"/>
            <w:vAlign w:val="bottom"/>
            <w:gridSpan w:val="6"/>
            <w:vMerge w:val="restart"/>
          </w:tcPr>
          <w:p>
            <w:pPr>
              <w:jc w:val="center"/>
              <w:ind w:right="110"/>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vMerge w:val="restart"/>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0" w:type="dxa"/>
            <w:vAlign w:val="bottom"/>
            <w:gridSpan w:val="6"/>
            <w:vMerge w:val="continue"/>
          </w:tcPr>
          <w:p>
            <w:pPr>
              <w:spacing w:after="0"/>
              <w:rPr>
                <w:sz w:val="12"/>
                <w:szCs w:val="12"/>
                <w:color w:val="auto"/>
              </w:rPr>
            </w:pPr>
          </w:p>
        </w:tc>
        <w:tc>
          <w:tcPr>
            <w:tcW w:w="372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0" w:type="dxa"/>
            <w:vAlign w:val="bottom"/>
            <w:gridSpan w:val="6"/>
            <w:vMerge w:val="restart"/>
          </w:tcPr>
          <w:p>
            <w:pPr>
              <w:ind w:left="5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color w:val="0000FF"/>
              </w:rPr>
              <w:t>SAN JOSE</w:t>
            </w:r>
          </w:p>
        </w:tc>
        <w:tc>
          <w:tcPr>
            <w:tcW w:w="1120" w:type="dxa"/>
            <w:vAlign w:val="bottom"/>
            <w:gridSpan w:val="2"/>
            <w:vMerge w:val="restart"/>
          </w:tcPr>
          <w:p>
            <w:pPr>
              <w:ind w:left="40"/>
              <w:spacing w:after="0"/>
              <w:rPr>
                <w:sz w:val="20"/>
                <w:szCs w:val="20"/>
                <w:color w:val="auto"/>
              </w:rPr>
            </w:pPr>
            <w:r>
              <w:rPr>
                <w:rFonts w:ascii="Arial" w:cs="Arial" w:eastAsia="Arial" w:hAnsi="Arial"/>
                <w:sz w:val="16"/>
                <w:szCs w:val="16"/>
                <w:color w:val="0000FF"/>
              </w:rPr>
              <w:t>CA</w:t>
            </w:r>
          </w:p>
        </w:tc>
        <w:tc>
          <w:tcPr>
            <w:tcW w:w="1080" w:type="dxa"/>
            <w:vAlign w:val="bottom"/>
            <w:vMerge w:val="restart"/>
          </w:tcPr>
          <w:p>
            <w:pPr>
              <w:ind w:left="140"/>
              <w:spacing w:after="0"/>
              <w:rPr>
                <w:sz w:val="20"/>
                <w:szCs w:val="20"/>
                <w:color w:val="auto"/>
              </w:rPr>
            </w:pPr>
            <w:r>
              <w:rPr>
                <w:rFonts w:ascii="Arial" w:cs="Arial" w:eastAsia="Arial" w:hAnsi="Arial"/>
                <w:sz w:val="16"/>
                <w:szCs w:val="16"/>
                <w:color w:val="0000FF"/>
              </w:rPr>
              <w:t>95131</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120" w:type="dxa"/>
            <w:vAlign w:val="bottom"/>
            <w:tcBorders>
              <w:bottom w:val="single" w:sz="8" w:color="9A9A9A"/>
            </w:tcBorders>
            <w:gridSpan w:val="2"/>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5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140" w:type="dxa"/>
            <w:vAlign w:val="bottom"/>
            <w:gridSpan w:val="2"/>
          </w:tcPr>
          <w:p>
            <w:pPr>
              <w:ind w:left="14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434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6400" w:type="dxa"/>
            <w:vAlign w:val="bottom"/>
            <w:tcBorders>
              <w:top w:val="single" w:sz="8" w:color="2C2C2C"/>
            </w:tcBorders>
            <w:gridSpan w:val="12"/>
          </w:tcPr>
          <w:p>
            <w:pPr>
              <w:jc w:val="center"/>
              <w:ind w:right="204"/>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4"/>
          </w:tcPr>
          <w:p>
            <w:pPr>
              <w:ind w:left="9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30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gridSpan w:val="2"/>
          </w:tcPr>
          <w:p>
            <w:pPr>
              <w:ind w:left="900"/>
              <w:spacing w:after="0" w:line="121" w:lineRule="exact"/>
              <w:rPr>
                <w:sz w:val="20"/>
                <w:szCs w:val="20"/>
                <w:color w:val="auto"/>
              </w:rPr>
            </w:pPr>
            <w:r>
              <w:rPr>
                <w:rFonts w:ascii="Arial" w:cs="Arial" w:eastAsia="Arial" w:hAnsi="Arial"/>
                <w:sz w:val="11"/>
                <w:szCs w:val="11"/>
                <w:b w:val="1"/>
                <w:bCs w:val="1"/>
                <w:color w:val="auto"/>
                <w:w w:val="92"/>
              </w:rPr>
              <w:t>Date</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60"/>
              <w:spacing w:after="0" w:line="121"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60" w:type="dxa"/>
            <w:vAlign w:val="bottom"/>
            <w:gridSpan w:val="4"/>
          </w:tcPr>
          <w:p>
            <w:pPr>
              <w:ind w:left="90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60"/>
              <w:spacing w:after="0" w:line="124"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96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2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gridSpan w:val="4"/>
            <w:vMerge w:val="restart"/>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0"/>
                <w:szCs w:val="10"/>
                <w:color w:val="auto"/>
              </w:rPr>
            </w:pPr>
          </w:p>
        </w:tc>
        <w:tc>
          <w:tcPr>
            <w:tcW w:w="320" w:type="dxa"/>
            <w:vAlign w:val="bottom"/>
          </w:tcPr>
          <w:p>
            <w:pPr>
              <w:spacing w:after="0" w:line="124"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B Common Stock</w:t>
            </w:r>
          </w:p>
        </w:tc>
        <w:tc>
          <w:tcPr>
            <w:tcW w:w="1860" w:type="dxa"/>
            <w:vAlign w:val="bottom"/>
            <w:gridSpan w:val="4"/>
            <w:vMerge w:val="restart"/>
          </w:tcPr>
          <w:p>
            <w:pPr>
              <w:ind w:left="980"/>
              <w:spacing w:after="0"/>
              <w:rPr>
                <w:sz w:val="20"/>
                <w:szCs w:val="20"/>
                <w:color w:val="auto"/>
              </w:rPr>
            </w:pPr>
            <w:r>
              <w:rPr>
                <w:rFonts w:ascii="Arial" w:cs="Arial" w:eastAsia="Arial" w:hAnsi="Arial"/>
                <w:sz w:val="16"/>
                <w:szCs w:val="16"/>
                <w:color w:val="0000FF"/>
              </w:rPr>
              <w:t>03/07/2022</w:t>
            </w:r>
          </w:p>
        </w:tc>
        <w:tc>
          <w:tcPr>
            <w:tcW w:w="1040" w:type="dxa"/>
            <w:vAlign w:val="bottom"/>
          </w:tcPr>
          <w:p>
            <w:pPr>
              <w:spacing w:after="0"/>
              <w:rPr>
                <w:sz w:val="20"/>
                <w:szCs w:val="20"/>
                <w:color w:val="auto"/>
              </w:rPr>
            </w:pPr>
          </w:p>
        </w:tc>
        <w:tc>
          <w:tcPr>
            <w:tcW w:w="740" w:type="dxa"/>
            <w:vAlign w:val="bottom"/>
            <w:vMerge w:val="restart"/>
          </w:tcPr>
          <w:p>
            <w:pPr>
              <w:jc w:val="center"/>
              <w:ind w:right="246"/>
              <w:spacing w:after="0"/>
              <w:rPr>
                <w:sz w:val="20"/>
                <w:szCs w:val="20"/>
                <w:color w:val="auto"/>
              </w:rPr>
            </w:pPr>
            <w:r>
              <w:rPr>
                <w:rFonts w:ascii="Arial" w:cs="Arial" w:eastAsia="Arial" w:hAnsi="Arial"/>
                <w:sz w:val="24"/>
                <w:szCs w:val="24"/>
                <w:color w:val="0000FF"/>
                <w:w w:val="83"/>
                <w:vertAlign w:val="subscript"/>
              </w:rPr>
              <w:t>C</w:t>
            </w:r>
            <w:r>
              <w:rPr>
                <w:rFonts w:ascii="Arial" w:cs="Arial" w:eastAsia="Arial" w:hAnsi="Arial"/>
                <w:sz w:val="10"/>
                <w:szCs w:val="10"/>
                <w:color w:val="008000"/>
                <w:w w:val="83"/>
              </w:rPr>
              <w:t>(1)</w:t>
            </w:r>
          </w:p>
        </w:tc>
        <w:tc>
          <w:tcPr>
            <w:tcW w:w="980" w:type="dxa"/>
            <w:vAlign w:val="bottom"/>
            <w:gridSpan w:val="2"/>
            <w:vMerge w:val="restart"/>
          </w:tcPr>
          <w:p>
            <w:pPr>
              <w:ind w:left="80"/>
              <w:spacing w:after="0"/>
              <w:rPr>
                <w:sz w:val="20"/>
                <w:szCs w:val="20"/>
                <w:color w:val="auto"/>
              </w:rPr>
            </w:pPr>
            <w:r>
              <w:rPr>
                <w:rFonts w:ascii="Arial" w:cs="Arial" w:eastAsia="Arial" w:hAnsi="Arial"/>
                <w:sz w:val="16"/>
                <w:szCs w:val="16"/>
                <w:color w:val="0000FF"/>
              </w:rPr>
              <w:t>2,309,490</w:t>
            </w:r>
            <w:r>
              <w:rPr>
                <w:rFonts w:ascii="Arial" w:cs="Arial" w:eastAsia="Arial" w:hAnsi="Arial"/>
                <w:sz w:val="20"/>
                <w:szCs w:val="20"/>
                <w:color w:val="008000"/>
                <w:vertAlign w:val="superscript"/>
              </w:rPr>
              <w:t>(3)</w:t>
            </w:r>
          </w:p>
        </w:tc>
        <w:tc>
          <w:tcPr>
            <w:tcW w:w="320" w:type="dxa"/>
            <w:vAlign w:val="bottom"/>
            <w:vMerge w:val="restart"/>
          </w:tcPr>
          <w:p>
            <w:pPr>
              <w:ind w:left="120"/>
              <w:spacing w:after="0"/>
              <w:rPr>
                <w:sz w:val="20"/>
                <w:szCs w:val="20"/>
                <w:color w:val="auto"/>
              </w:rPr>
            </w:pPr>
            <w:r>
              <w:rPr>
                <w:rFonts w:ascii="Arial" w:cs="Arial" w:eastAsia="Arial" w:hAnsi="Arial"/>
                <w:sz w:val="16"/>
                <w:szCs w:val="16"/>
                <w:color w:val="0000FF"/>
              </w:rPr>
              <w:t>D</w:t>
            </w:r>
          </w:p>
        </w:tc>
        <w:tc>
          <w:tcPr>
            <w:tcW w:w="720" w:type="dxa"/>
            <w:vAlign w:val="bottom"/>
            <w:vMerge w:val="restart"/>
          </w:tcPr>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540" w:type="dxa"/>
            <w:vAlign w:val="bottom"/>
            <w:gridSpan w:val="3"/>
            <w:vMerge w:val="restart"/>
          </w:tcPr>
          <w:p>
            <w:pPr>
              <w:jc w:val="center"/>
              <w:ind w:right="364"/>
              <w:spacing w:after="0"/>
              <w:rPr>
                <w:sz w:val="20"/>
                <w:szCs w:val="20"/>
                <w:color w:val="auto"/>
              </w:rPr>
            </w:pPr>
            <w:r>
              <w:rPr>
                <w:rFonts w:ascii="Arial" w:cs="Arial" w:eastAsia="Arial" w:hAnsi="Arial"/>
                <w:sz w:val="16"/>
                <w:szCs w:val="16"/>
                <w:color w:val="0000FF"/>
                <w:w w:val="89"/>
              </w:rPr>
              <w:t>256,623</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9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1860" w:type="dxa"/>
            <w:vAlign w:val="bottom"/>
            <w:gridSpan w:val="4"/>
            <w:vMerge w:val="continue"/>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0"/>
                <w:szCs w:val="20"/>
                <w:color w:val="008000"/>
                <w:w w:val="94"/>
                <w:vertAlign w:val="superscript"/>
              </w:rPr>
              <w:t>(3)</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60" w:type="dxa"/>
            <w:vAlign w:val="bottom"/>
            <w:gridSpan w:val="4"/>
            <w:vMerge w:val="restart"/>
          </w:tcPr>
          <w:p>
            <w:pPr>
              <w:ind w:left="980"/>
              <w:spacing w:after="0"/>
              <w:rPr>
                <w:sz w:val="20"/>
                <w:szCs w:val="20"/>
                <w:color w:val="auto"/>
              </w:rPr>
            </w:pPr>
            <w:r>
              <w:rPr>
                <w:rFonts w:ascii="Arial" w:cs="Arial" w:eastAsia="Arial" w:hAnsi="Arial"/>
                <w:sz w:val="16"/>
                <w:szCs w:val="16"/>
                <w:color w:val="0000FF"/>
              </w:rPr>
              <w:t>03/07/2022</w:t>
            </w:r>
          </w:p>
        </w:tc>
        <w:tc>
          <w:tcPr>
            <w:tcW w:w="1040" w:type="dxa"/>
            <w:vAlign w:val="bottom"/>
          </w:tcPr>
          <w:p>
            <w:pPr>
              <w:spacing w:after="0"/>
              <w:rPr>
                <w:sz w:val="20"/>
                <w:szCs w:val="20"/>
                <w:color w:val="auto"/>
              </w:rPr>
            </w:pPr>
          </w:p>
        </w:tc>
        <w:tc>
          <w:tcPr>
            <w:tcW w:w="740" w:type="dxa"/>
            <w:vAlign w:val="bottom"/>
            <w:vMerge w:val="restart"/>
          </w:tcPr>
          <w:p>
            <w:pPr>
              <w:jc w:val="center"/>
              <w:ind w:right="246"/>
              <w:spacing w:after="0"/>
              <w:rPr>
                <w:sz w:val="20"/>
                <w:szCs w:val="20"/>
                <w:color w:val="auto"/>
              </w:rPr>
            </w:pPr>
            <w:r>
              <w:rPr>
                <w:rFonts w:ascii="Arial" w:cs="Arial" w:eastAsia="Arial" w:hAnsi="Arial"/>
                <w:sz w:val="24"/>
                <w:szCs w:val="24"/>
                <w:color w:val="0000FF"/>
                <w:w w:val="83"/>
                <w:vertAlign w:val="subscript"/>
              </w:rPr>
              <w:t>C</w:t>
            </w:r>
            <w:r>
              <w:rPr>
                <w:rFonts w:ascii="Arial" w:cs="Arial" w:eastAsia="Arial" w:hAnsi="Arial"/>
                <w:sz w:val="10"/>
                <w:szCs w:val="10"/>
                <w:color w:val="008000"/>
                <w:w w:val="83"/>
              </w:rPr>
              <w:t>(1)</w:t>
            </w:r>
          </w:p>
        </w:tc>
        <w:tc>
          <w:tcPr>
            <w:tcW w:w="980" w:type="dxa"/>
            <w:vAlign w:val="bottom"/>
            <w:gridSpan w:val="2"/>
            <w:vMerge w:val="restart"/>
          </w:tcPr>
          <w:p>
            <w:pPr>
              <w:ind w:left="80"/>
              <w:spacing w:after="0"/>
              <w:rPr>
                <w:sz w:val="20"/>
                <w:szCs w:val="20"/>
                <w:color w:val="auto"/>
              </w:rPr>
            </w:pPr>
            <w:r>
              <w:rPr>
                <w:rFonts w:ascii="Arial" w:cs="Arial" w:eastAsia="Arial" w:hAnsi="Arial"/>
                <w:sz w:val="16"/>
                <w:szCs w:val="16"/>
                <w:color w:val="0000FF"/>
              </w:rPr>
              <w:t>2,309,490</w:t>
            </w:r>
            <w:r>
              <w:rPr>
                <w:rFonts w:ascii="Arial" w:cs="Arial" w:eastAsia="Arial" w:hAnsi="Arial"/>
                <w:sz w:val="20"/>
                <w:szCs w:val="20"/>
                <w:color w:val="008000"/>
                <w:vertAlign w:val="superscript"/>
              </w:rPr>
              <w:t>(4)</w:t>
            </w:r>
          </w:p>
        </w:tc>
        <w:tc>
          <w:tcPr>
            <w:tcW w:w="320" w:type="dxa"/>
            <w:vAlign w:val="bottom"/>
            <w:vMerge w:val="restart"/>
          </w:tcPr>
          <w:p>
            <w:pPr>
              <w:ind w:left="12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540" w:type="dxa"/>
            <w:vAlign w:val="bottom"/>
            <w:gridSpan w:val="3"/>
            <w:vMerge w:val="restart"/>
          </w:tcPr>
          <w:p>
            <w:pPr>
              <w:jc w:val="center"/>
              <w:ind w:right="364"/>
              <w:spacing w:after="0"/>
              <w:rPr>
                <w:sz w:val="20"/>
                <w:szCs w:val="20"/>
                <w:color w:val="auto"/>
              </w:rPr>
            </w:pPr>
            <w:r>
              <w:rPr>
                <w:rFonts w:ascii="Arial" w:cs="Arial" w:eastAsia="Arial" w:hAnsi="Arial"/>
                <w:sz w:val="16"/>
                <w:szCs w:val="16"/>
                <w:color w:val="0000FF"/>
                <w:w w:val="89"/>
              </w:rPr>
              <w:t>2,375,617</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9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1860" w:type="dxa"/>
            <w:vAlign w:val="bottom"/>
            <w:gridSpan w:val="4"/>
            <w:vMerge w:val="continue"/>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0"/>
                <w:szCs w:val="20"/>
                <w:color w:val="008000"/>
                <w:w w:val="94"/>
                <w:vertAlign w:val="superscript"/>
              </w:rPr>
              <w:t>(4)</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60" w:type="dxa"/>
            <w:vAlign w:val="bottom"/>
            <w:gridSpan w:val="4"/>
            <w:vMerge w:val="restart"/>
          </w:tcPr>
          <w:p>
            <w:pPr>
              <w:ind w:left="980"/>
              <w:spacing w:after="0"/>
              <w:rPr>
                <w:sz w:val="20"/>
                <w:szCs w:val="20"/>
                <w:color w:val="auto"/>
              </w:rPr>
            </w:pPr>
            <w:r>
              <w:rPr>
                <w:rFonts w:ascii="Arial" w:cs="Arial" w:eastAsia="Arial" w:hAnsi="Arial"/>
                <w:sz w:val="16"/>
                <w:szCs w:val="16"/>
                <w:color w:val="0000FF"/>
              </w:rPr>
              <w:t>03/07/2022</w:t>
            </w:r>
          </w:p>
        </w:tc>
        <w:tc>
          <w:tcPr>
            <w:tcW w:w="1040" w:type="dxa"/>
            <w:vAlign w:val="bottom"/>
          </w:tcPr>
          <w:p>
            <w:pPr>
              <w:spacing w:after="0"/>
              <w:rPr>
                <w:sz w:val="20"/>
                <w:szCs w:val="20"/>
                <w:color w:val="auto"/>
              </w:rPr>
            </w:pPr>
          </w:p>
        </w:tc>
        <w:tc>
          <w:tcPr>
            <w:tcW w:w="740" w:type="dxa"/>
            <w:vAlign w:val="bottom"/>
            <w:vMerge w:val="restart"/>
          </w:tcPr>
          <w:p>
            <w:pPr>
              <w:jc w:val="center"/>
              <w:ind w:right="246"/>
              <w:spacing w:after="0"/>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(2)</w:t>
            </w:r>
          </w:p>
        </w:tc>
        <w:tc>
          <w:tcPr>
            <w:tcW w:w="980" w:type="dxa"/>
            <w:vAlign w:val="bottom"/>
            <w:gridSpan w:val="2"/>
            <w:vMerge w:val="restart"/>
          </w:tcPr>
          <w:p>
            <w:pPr>
              <w:ind w:left="80"/>
              <w:spacing w:after="0"/>
              <w:rPr>
                <w:sz w:val="20"/>
                <w:szCs w:val="20"/>
                <w:color w:val="auto"/>
              </w:rPr>
            </w:pPr>
            <w:r>
              <w:rPr>
                <w:rFonts w:ascii="Arial" w:cs="Arial" w:eastAsia="Arial" w:hAnsi="Arial"/>
                <w:sz w:val="16"/>
                <w:szCs w:val="16"/>
                <w:color w:val="0000FF"/>
              </w:rPr>
              <w:t>2,229,238</w:t>
            </w:r>
            <w:r>
              <w:rPr>
                <w:rFonts w:ascii="Arial" w:cs="Arial" w:eastAsia="Arial" w:hAnsi="Arial"/>
                <w:sz w:val="20"/>
                <w:szCs w:val="20"/>
                <w:color w:val="008000"/>
                <w:vertAlign w:val="superscript"/>
              </w:rPr>
              <w:t>(5)</w:t>
            </w:r>
          </w:p>
        </w:tc>
        <w:tc>
          <w:tcPr>
            <w:tcW w:w="320" w:type="dxa"/>
            <w:vAlign w:val="bottom"/>
            <w:vMerge w:val="restart"/>
          </w:tcPr>
          <w:p>
            <w:pPr>
              <w:ind w:left="120"/>
              <w:spacing w:after="0"/>
              <w:rPr>
                <w:sz w:val="20"/>
                <w:szCs w:val="20"/>
                <w:color w:val="auto"/>
              </w:rPr>
            </w:pPr>
            <w:r>
              <w:rPr>
                <w:rFonts w:ascii="Arial" w:cs="Arial" w:eastAsia="Arial" w:hAnsi="Arial"/>
                <w:sz w:val="16"/>
                <w:szCs w:val="16"/>
                <w:color w:val="0000FF"/>
              </w:rPr>
              <w:t>D</w:t>
            </w:r>
          </w:p>
        </w:tc>
        <w:tc>
          <w:tcPr>
            <w:tcW w:w="720" w:type="dxa"/>
            <w:vAlign w:val="bottom"/>
            <w:vMerge w:val="restart"/>
          </w:tcPr>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540" w:type="dxa"/>
            <w:vAlign w:val="bottom"/>
            <w:gridSpan w:val="3"/>
            <w:vMerge w:val="restart"/>
          </w:tcPr>
          <w:p>
            <w:pPr>
              <w:jc w:val="center"/>
              <w:ind w:right="364"/>
              <w:spacing w:after="0"/>
              <w:rPr>
                <w:sz w:val="20"/>
                <w:szCs w:val="20"/>
                <w:color w:val="auto"/>
              </w:rPr>
            </w:pPr>
            <w:r>
              <w:rPr>
                <w:rFonts w:ascii="Arial" w:cs="Arial" w:eastAsia="Arial" w:hAnsi="Arial"/>
                <w:sz w:val="16"/>
                <w:szCs w:val="16"/>
                <w:color w:val="0000FF"/>
                <w:w w:val="89"/>
              </w:rPr>
              <w:t>146,379</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9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1860" w:type="dxa"/>
            <w:vAlign w:val="bottom"/>
            <w:gridSpan w:val="4"/>
            <w:vMerge w:val="continue"/>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(5)</w:t>
            </w: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0" w:type="dxa"/>
            <w:vAlign w:val="bottom"/>
            <w:gridSpan w:val="12"/>
          </w:tcPr>
          <w:p>
            <w:pPr>
              <w:jc w:val="center"/>
              <w:ind w:right="10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60" w:type="dxa"/>
            <w:vAlign w:val="bottom"/>
            <w:gridSpan w:val="10"/>
          </w:tcPr>
          <w:p>
            <w:pPr>
              <w:jc w:val="center"/>
              <w:ind w:left="51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4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1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1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spacing w:after="0" w:line="124"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w w:val="97"/>
              </w:rPr>
              <w:t>Title</w:t>
            </w:r>
          </w:p>
        </w:tc>
        <w:tc>
          <w:tcPr>
            <w:tcW w:w="320" w:type="dxa"/>
            <w:vAlign w:val="bottom"/>
          </w:tcPr>
          <w:p>
            <w:pPr>
              <w:spacing w:after="0"/>
              <w:rPr>
                <w:sz w:val="12"/>
                <w:szCs w:val="12"/>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Class A</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w:t>
            </w:r>
          </w:p>
        </w:tc>
        <w:tc>
          <w:tcPr>
            <w:tcW w:w="1040" w:type="dxa"/>
            <w:vAlign w:val="bottom"/>
            <w:vMerge w:val="restart"/>
          </w:tcPr>
          <w:p>
            <w:pPr>
              <w:ind w:left="340"/>
              <w:spacing w:after="0"/>
              <w:rPr>
                <w:sz w:val="20"/>
                <w:szCs w:val="20"/>
                <w:color w:val="auto"/>
              </w:rPr>
            </w:pPr>
            <w:r>
              <w:rPr>
                <w:rFonts w:ascii="Arial" w:cs="Arial" w:eastAsia="Arial" w:hAnsi="Arial"/>
                <w:sz w:val="12"/>
                <w:szCs w:val="12"/>
                <w:color w:val="0000FF"/>
                <w:w w:val="97"/>
              </w:rPr>
              <w:t>2,309,490</w:t>
            </w:r>
            <w:r>
              <w:rPr>
                <w:rFonts w:ascii="Arial" w:cs="Arial" w:eastAsia="Arial" w:hAnsi="Arial"/>
                <w:sz w:val="20"/>
                <w:szCs w:val="20"/>
                <w:color w:val="008000"/>
                <w:w w:val="97"/>
                <w:vertAlign w:val="superscript"/>
              </w:rPr>
              <w:t>(6)</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620" w:type="dxa"/>
            <w:vAlign w:val="bottom"/>
            <w:gridSpan w:val="2"/>
          </w:tcPr>
          <w:p>
            <w:pPr>
              <w:ind w:left="100"/>
              <w:spacing w:after="0"/>
              <w:rPr>
                <w:sz w:val="20"/>
                <w:szCs w:val="20"/>
                <w:color w:val="auto"/>
              </w:rPr>
            </w:pPr>
            <w:r>
              <w:rPr>
                <w:rFonts w:ascii="Arial" w:cs="Arial" w:eastAsia="Arial" w:hAnsi="Arial"/>
                <w:sz w:val="12"/>
                <w:szCs w:val="12"/>
                <w:color w:val="0000FF"/>
              </w:rPr>
              <w:t>Class A</w:t>
            </w:r>
          </w:p>
        </w:tc>
        <w:tc>
          <w:tcPr>
            <w:tcW w:w="720" w:type="dxa"/>
            <w:vAlign w:val="bottom"/>
            <w:vMerge w:val="restart"/>
          </w:tcPr>
          <w:p>
            <w:pPr>
              <w:ind w:left="40"/>
              <w:spacing w:after="0"/>
              <w:rPr>
                <w:sz w:val="20"/>
                <w:szCs w:val="20"/>
                <w:color w:val="auto"/>
              </w:rPr>
            </w:pPr>
            <w:r>
              <w:rPr>
                <w:rFonts w:ascii="Arial" w:cs="Arial" w:eastAsia="Arial" w:hAnsi="Arial"/>
                <w:sz w:val="16"/>
                <w:szCs w:val="16"/>
                <w:color w:val="0000FF"/>
                <w:w w:val="92"/>
              </w:rPr>
              <w:t>2,309,490</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restart"/>
          </w:tcPr>
          <w:p>
            <w:pPr>
              <w:ind w:left="60"/>
              <w:spacing w:after="0" w:line="133" w:lineRule="exact"/>
              <w:rPr>
                <w:sz w:val="20"/>
                <w:szCs w:val="20"/>
                <w:color w:val="auto"/>
              </w:rPr>
            </w:pPr>
            <w:r>
              <w:rPr>
                <w:rFonts w:ascii="Arial" w:cs="Arial" w:eastAsia="Arial" w:hAnsi="Arial"/>
                <w:sz w:val="12"/>
                <w:szCs w:val="12"/>
                <w:color w:val="0000FF"/>
              </w:rPr>
              <w:t>Common</w:t>
            </w:r>
          </w:p>
        </w:tc>
        <w:tc>
          <w:tcPr>
            <w:tcW w:w="620" w:type="dxa"/>
            <w:vAlign w:val="bottom"/>
            <w:vMerge w:val="restart"/>
          </w:tcPr>
          <w:p>
            <w:pPr>
              <w:ind w:left="300"/>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20" w:type="dxa"/>
            <w:vAlign w:val="bottom"/>
          </w:tcPr>
          <w:p>
            <w:pPr>
              <w:spacing w:after="0"/>
              <w:rPr>
                <w:sz w:val="3"/>
                <w:szCs w:val="3"/>
                <w:color w:val="auto"/>
              </w:rPr>
            </w:pPr>
          </w:p>
        </w:tc>
        <w:tc>
          <w:tcPr>
            <w:tcW w:w="1000" w:type="dxa"/>
            <w:vAlign w:val="bottom"/>
            <w:vMerge w:val="restart"/>
          </w:tcPr>
          <w:p>
            <w:pPr>
              <w:jc w:val="right"/>
              <w:ind w:right="143"/>
              <w:spacing w:after="0" w:line="133" w:lineRule="exact"/>
              <w:rPr>
                <w:sz w:val="20"/>
                <w:szCs w:val="20"/>
                <w:color w:val="auto"/>
              </w:rPr>
            </w:pPr>
            <w:r>
              <w:rPr>
                <w:rFonts w:ascii="Arial" w:cs="Arial" w:eastAsia="Arial" w:hAnsi="Arial"/>
                <w:sz w:val="12"/>
                <w:szCs w:val="12"/>
                <w:color w:val="0000FF"/>
              </w:rPr>
              <w:t>03/07/2022</w:t>
            </w: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gridSpan w:val="2"/>
            <w:vMerge w:val="restart"/>
          </w:tcPr>
          <w:p>
            <w:pPr>
              <w:ind w:left="60"/>
              <w:spacing w:after="0" w:line="133" w:lineRule="exact"/>
              <w:rPr>
                <w:sz w:val="20"/>
                <w:szCs w:val="20"/>
                <w:color w:val="auto"/>
              </w:rPr>
            </w:pPr>
            <w:r>
              <w:rPr>
                <w:rFonts w:ascii="Arial" w:cs="Arial" w:eastAsia="Arial" w:hAnsi="Arial"/>
                <w:sz w:val="12"/>
                <w:szCs w:val="12"/>
                <w:color w:val="0000FF"/>
              </w:rPr>
              <w:t>Common</w:t>
            </w:r>
          </w:p>
        </w:tc>
        <w:tc>
          <w:tcPr>
            <w:tcW w:w="720" w:type="dxa"/>
            <w:vAlign w:val="bottom"/>
            <w:vMerge w:val="continue"/>
          </w:tcPr>
          <w:p>
            <w:pPr>
              <w:spacing w:after="0"/>
              <w:rPr>
                <w:sz w:val="3"/>
                <w:szCs w:val="3"/>
                <w:color w:val="auto"/>
              </w:rPr>
            </w:pPr>
          </w:p>
        </w:tc>
        <w:tc>
          <w:tcPr>
            <w:tcW w:w="740" w:type="dxa"/>
            <w:vAlign w:val="bottom"/>
            <w:gridSpan w:val="2"/>
            <w:vMerge w:val="restart"/>
          </w:tcPr>
          <w:p>
            <w:pPr>
              <w:jc w:val="right"/>
              <w:ind w:right="264"/>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00" w:type="dxa"/>
            <w:vAlign w:val="bottom"/>
            <w:vMerge w:val="restart"/>
          </w:tcPr>
          <w:p>
            <w:pPr>
              <w:ind w:left="200"/>
              <w:spacing w:after="0" w:line="133" w:lineRule="exact"/>
              <w:rPr>
                <w:sz w:val="20"/>
                <w:szCs w:val="20"/>
                <w:color w:val="auto"/>
              </w:rPr>
            </w:pPr>
            <w:r>
              <w:rPr>
                <w:rFonts w:ascii="Arial" w:cs="Arial" w:eastAsia="Arial" w:hAnsi="Arial"/>
                <w:sz w:val="12"/>
                <w:szCs w:val="12"/>
                <w:color w:val="0000FF"/>
              </w:rPr>
              <w:t>256,623</w:t>
            </w:r>
          </w:p>
        </w:tc>
        <w:tc>
          <w:tcPr>
            <w:tcW w:w="500" w:type="dxa"/>
            <w:vAlign w:val="bottom"/>
            <w:vMerge w:val="restart"/>
          </w:tcPr>
          <w:p>
            <w:pPr>
              <w:ind w:left="360"/>
              <w:spacing w:after="0" w:line="133" w:lineRule="exact"/>
              <w:rPr>
                <w:sz w:val="20"/>
                <w:szCs w:val="20"/>
                <w:color w:val="auto"/>
              </w:rPr>
            </w:pPr>
            <w:r>
              <w:rPr>
                <w:rFonts w:ascii="Arial" w:cs="Arial" w:eastAsia="Arial" w:hAnsi="Arial"/>
                <w:sz w:val="12"/>
                <w:szCs w:val="12"/>
                <w:color w:val="0000FF"/>
              </w:rPr>
              <w:t>I</w:t>
            </w:r>
          </w:p>
        </w:tc>
        <w:tc>
          <w:tcPr>
            <w:tcW w:w="240" w:type="dxa"/>
            <w:vAlign w:val="bottom"/>
          </w:tcPr>
          <w:p>
            <w:pPr>
              <w:spacing w:after="0"/>
              <w:rPr>
                <w:sz w:val="3"/>
                <w:szCs w:val="3"/>
                <w:color w:val="auto"/>
              </w:rPr>
            </w:pPr>
          </w:p>
        </w:tc>
        <w:tc>
          <w:tcPr>
            <w:tcW w:w="7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Borders>
              <w:right w:val="single" w:sz="8" w:color="2C2C2C"/>
            </w:tcBorders>
            <w:gridSpan w:val="3"/>
          </w:tcPr>
          <w:p>
            <w:pPr>
              <w:ind w:left="500"/>
              <w:spacing w:after="0" w:line="88" w:lineRule="exact"/>
              <w:rPr>
                <w:sz w:val="20"/>
                <w:szCs w:val="20"/>
                <w:color w:val="auto"/>
              </w:rPr>
            </w:pPr>
            <w:r>
              <w:rPr>
                <w:rFonts w:ascii="Arial" w:cs="Arial" w:eastAsia="Arial" w:hAnsi="Arial"/>
                <w:sz w:val="10"/>
                <w:szCs w:val="10"/>
                <w:color w:val="008000"/>
              </w:rPr>
              <w:t>(6)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LLC Units</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-1535430</wp:posOffset>
            </wp:positionV>
            <wp:extent cx="28575" cy="1541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54114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4"/>
          <w:szCs w:val="24"/>
          <w:color w:val="auto"/>
        </w:rPr>
      </w:pPr>
    </w:p>
    <w:p>
      <w:pPr>
        <w:ind w:left="40" w:right="200" w:hanging="4"/>
        <w:spacing w:after="0" w:line="252"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terms of the Fifth Amended and Restated LLC Agreement between Rani Therapeutics, LLC, a direct subsidiary of the Issuer, and the holders of its Common LLC Units ("LLC Units"), InCube Ventures II, L.P. and Rani Investment Corp. elected to exchange on a one-for-one basis the LLC Units and redeem the corresponding number of shares of Class B Common Stock of the Issuer ("Class B Shares") for newly-issued shares of Class A Common Stock of the Issuer ("Class A Shares").</w:t>
      </w:r>
    </w:p>
    <w:p>
      <w:pPr>
        <w:spacing w:after="0" w:line="22" w:lineRule="exact"/>
        <w:rPr>
          <w:rFonts w:ascii="Arial" w:cs="Arial" w:eastAsia="Arial" w:hAnsi="Arial"/>
          <w:sz w:val="12"/>
          <w:szCs w:val="12"/>
          <w:color w:val="008000"/>
        </w:rPr>
      </w:pPr>
    </w:p>
    <w:p>
      <w:pPr>
        <w:ind w:left="160" w:hanging="124"/>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InCube Ventures II, L.P. distributed these shares to its limited partners on a pro rata basis, for no consideration</w:t>
      </w:r>
    </w:p>
    <w:p>
      <w:pPr>
        <w:spacing w:after="0" w:line="47" w:lineRule="exact"/>
        <w:rPr>
          <w:rFonts w:ascii="Arial" w:cs="Arial" w:eastAsia="Arial" w:hAnsi="Arial"/>
          <w:sz w:val="12"/>
          <w:szCs w:val="12"/>
          <w:color w:val="008000"/>
        </w:rPr>
      </w:pPr>
    </w:p>
    <w:p>
      <w:pPr>
        <w:ind w:left="40" w:right="140" w:hanging="4"/>
        <w:spacing w:after="0" w:line="268"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General Partner of InCube Ventures II, L.P. and Rani Investment Corp. Represents 2,229,238 Class B Shares previously held by InCube Ventures II, L.P. and 80,252 Class B Shares previously held by Rani Investment Corp. The Reporting Person disclaims beneficial ownership of these securities except to the extent of his pecuniary interest therein.</w:t>
      </w:r>
    </w:p>
    <w:p>
      <w:pPr>
        <w:spacing w:after="0" w:line="13" w:lineRule="exact"/>
        <w:rPr>
          <w:rFonts w:ascii="Arial" w:cs="Arial" w:eastAsia="Arial" w:hAnsi="Arial"/>
          <w:sz w:val="12"/>
          <w:szCs w:val="12"/>
          <w:color w:val="008000"/>
        </w:rPr>
      </w:pPr>
    </w:p>
    <w:p>
      <w:pPr>
        <w:ind w:left="40" w:right="580" w:hanging="4"/>
        <w:spacing w:after="0" w:line="268"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General Partner of InCube Ventures II, L.P. and Rani Investment Corp. Represents 2,229,238 Class A Shares held by InCube Ventures II, L.P. and 80,252 Class A Shares held by Rani Investment Corp. The Reporting Person disclaims beneficial ownership of these securities except to the extent of his pecuniary interest therein.</w:t>
      </w:r>
    </w:p>
    <w:p>
      <w:pPr>
        <w:spacing w:after="0" w:line="13" w:lineRule="exact"/>
        <w:rPr>
          <w:rFonts w:ascii="Arial" w:cs="Arial" w:eastAsia="Arial" w:hAnsi="Arial"/>
          <w:sz w:val="12"/>
          <w:szCs w:val="12"/>
          <w:color w:val="008000"/>
        </w:rPr>
      </w:pPr>
    </w:p>
    <w:p>
      <w:pPr>
        <w:ind w:left="40" w:right="320" w:hanging="4"/>
        <w:spacing w:after="0" w:line="268"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General Partner of InCube Ventures II, L.P. Represents 2,229,238 Class A Shares previously held by InCube Ventures II, L.P. The Reporting Person disclaims beneficial ownership of these securities except to the extent of his pecuniary interest therein.</w:t>
      </w:r>
    </w:p>
    <w:p>
      <w:pPr>
        <w:spacing w:after="0" w:line="13" w:lineRule="exact"/>
        <w:rPr>
          <w:rFonts w:ascii="Arial" w:cs="Arial" w:eastAsia="Arial" w:hAnsi="Arial"/>
          <w:sz w:val="12"/>
          <w:szCs w:val="12"/>
          <w:color w:val="008000"/>
        </w:rPr>
      </w:pPr>
    </w:p>
    <w:p>
      <w:pPr>
        <w:ind w:left="40" w:right="160" w:hanging="4"/>
        <w:spacing w:after="0" w:line="268" w:lineRule="auto"/>
        <w:tabs>
          <w:tab w:leader="none" w:pos="16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General Partner of InCube Ventures II, L.P. and Rani Investment Corp. Represents 2,229,238 LLC Units previously held by InCube Ventures II, L.P. and 80,252 LLC Units previously held by Rani Investment Corp. The Reporting Person disclaims beneficial ownership of these securities except to the extent of his pecuniary interest therein.</w:t>
      </w:r>
    </w:p>
    <w:p>
      <w:pPr>
        <w:spacing w:after="0" w:line="4"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0"/>
              </w:rPr>
              <w:t>/s/Josh Seidenfeld, Attonrey-in-</w:t>
            </w:r>
          </w:p>
        </w:tc>
        <w:tc>
          <w:tcPr>
            <w:tcW w:w="80" w:type="dxa"/>
            <w:vAlign w:val="bottom"/>
          </w:tcPr>
          <w:p>
            <w:pPr>
              <w:spacing w:after="0"/>
              <w:rPr>
                <w:sz w:val="17"/>
                <w:szCs w:val="17"/>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6"/>
                <w:szCs w:val="16"/>
                <w:color w:val="0000FF"/>
                <w:w w:val="87"/>
              </w:rPr>
              <w:t>03/10/2022</w:t>
            </w:r>
          </w:p>
        </w:tc>
        <w:tc>
          <w:tcPr>
            <w:tcW w:w="0" w:type="dxa"/>
            <w:vAlign w:val="bottom"/>
          </w:tcPr>
          <w:p>
            <w:pPr>
              <w:spacing w:after="0"/>
              <w:rPr>
                <w:sz w:val="1"/>
                <w:szCs w:val="1"/>
                <w:color w:val="auto"/>
              </w:rPr>
            </w:pPr>
          </w:p>
        </w:tc>
      </w:tr>
      <w:tr>
        <w:trPr>
          <w:trHeight w:val="79"/>
        </w:trPr>
        <w:tc>
          <w:tcPr>
            <w:tcW w:w="1900" w:type="dxa"/>
            <w:vAlign w:val="bottom"/>
            <w:vMerge w:val="restart"/>
          </w:tcPr>
          <w:p>
            <w:pPr>
              <w:spacing w:after="0" w:line="178" w:lineRule="exact"/>
              <w:rPr>
                <w:sz w:val="20"/>
                <w:szCs w:val="20"/>
                <w:color w:val="auto"/>
              </w:rPr>
            </w:pPr>
            <w:r>
              <w:rPr>
                <w:rFonts w:ascii="Arial" w:cs="Arial" w:eastAsia="Arial" w:hAnsi="Arial"/>
                <w:sz w:val="16"/>
                <w:szCs w:val="16"/>
                <w:color w:val="0000FF"/>
                <w:w w:val="90"/>
              </w:rPr>
              <w:t>Fact for Andrew Farquharson</w:t>
            </w:r>
          </w:p>
        </w:tc>
        <w:tc>
          <w:tcPr>
            <w:tcW w:w="220" w:type="dxa"/>
            <w:vAlign w:val="bottom"/>
            <w:gridSpan w:val="2"/>
            <w:vMerge w:val="restart"/>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900" w:type="dxa"/>
            <w:vAlign w:val="bottom"/>
            <w:tcBorders>
              <w:bottom w:val="single" w:sz="8" w:color="auto"/>
            </w:tcBorders>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12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00" w:type="dxa"/>
            <w:vAlign w:val="bottom"/>
            <w:gridSpan w:val="2"/>
          </w:tcPr>
          <w:p>
            <w:pPr>
              <w:ind w:left="8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0"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5699"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2022-03-10T19:26:02Z</dcterms:created>
  <dcterms:modified xsi:type="dcterms:W3CDTF">2022-03-10T19:26:02Z</dcterms:modified>
</cp:coreProperties>
</file>