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Times New Roman" w:cs="Times New Roman" w:eastAsia="Times New Roman" w:hAnsi="Times New Roman"/>
          <w:sz w:val="18"/>
          <w:szCs w:val="18"/>
          <w:color w:val="auto"/>
        </w:rPr>
        <w:t>July 9, 2025</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ind w:left="4"/>
        <w:spacing w:after="0"/>
        <w:tabs>
          <w:tab w:leader="none" w:pos="484" w:val="left"/>
          <w:tab w:leader="none" w:pos="664" w:val="left"/>
          <w:tab w:leader="none" w:pos="844" w:val="left"/>
        </w:tabs>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b w:val="1"/>
          <w:bCs w:val="1"/>
          <w:color w:val="auto"/>
        </w:rPr>
        <w:t xml:space="preserve"> </w:t>
      </w:r>
      <w:r>
        <w:rPr>
          <w:sz w:val="20"/>
          <w:szCs w:val="20"/>
          <w:color w:val="auto"/>
        </w:rPr>
        <w:tab/>
      </w:r>
      <w:r>
        <w:rPr>
          <w:rFonts w:ascii="Times New Roman" w:cs="Times New Roman" w:eastAsia="Times New Roman" w:hAnsi="Times New Roman"/>
          <w:sz w:val="18"/>
          <w:szCs w:val="18"/>
          <w:b w:val="1"/>
          <w:bCs w:val="1"/>
          <w:color w:val="auto"/>
        </w:rPr>
        <w:t> </w:t>
        <w:tab/>
        <w:t> </w:t>
      </w:r>
      <w:r>
        <w:rPr>
          <w:sz w:val="20"/>
          <w:szCs w:val="20"/>
          <w:color w:val="auto"/>
        </w:rPr>
        <w:tab/>
      </w:r>
      <w:r>
        <w:rPr>
          <w:rFonts w:ascii="Times New Roman" w:cs="Times New Roman" w:eastAsia="Times New Roman" w:hAnsi="Times New Roman"/>
          <w:sz w:val="17"/>
          <w:szCs w:val="17"/>
          <w:b w:val="1"/>
          <w:bCs w:val="1"/>
          <w:color w:val="auto"/>
        </w:rPr>
        <w:t>Rani Therapeutics Holdings, Inc.</w:t>
      </w:r>
    </w:p>
    <w:p>
      <w:pPr>
        <w:spacing w:after="0" w:line="31" w:lineRule="exact"/>
        <w:rPr>
          <w:sz w:val="24"/>
          <w:szCs w:val="24"/>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Registration Statement on Form S-3</w:t>
      </w:r>
    </w:p>
    <w:p>
      <w:pPr>
        <w:spacing w:after="0" w:line="9" w:lineRule="exact"/>
        <w:rPr>
          <w:sz w:val="24"/>
          <w:szCs w:val="24"/>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File No. 333-288509</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ind w:left="4" w:right="100" w:firstLine="440"/>
        <w:spacing w:after="0" w:line="262" w:lineRule="auto"/>
        <w:rPr>
          <w:sz w:val="20"/>
          <w:szCs w:val="20"/>
          <w:color w:val="auto"/>
        </w:rPr>
      </w:pPr>
      <w:r>
        <w:rPr>
          <w:rFonts w:ascii="Times New Roman" w:cs="Times New Roman" w:eastAsia="Times New Roman" w:hAnsi="Times New Roman"/>
          <w:sz w:val="18"/>
          <w:szCs w:val="18"/>
          <w:color w:val="auto"/>
        </w:rPr>
        <w:t>Rani Therapeutics Holdings, Inc.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hereby requests that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take appropriate action to cause the above-referenced Registration Statement on Form S-3 to become effective on July 11, 2025, at 4:00 p.m., Eastern Time, or as soon thereafter as is practicable or at such later time as the Registrant may orally request via telephone call to the staff of the Commission. The Registrant hereby authorizes John T. McKenna of Cooley LLP, counsel to the Registrant, to make such request on its behalf.</w:t>
      </w:r>
    </w:p>
    <w:p>
      <w:pPr>
        <w:spacing w:after="0" w:line="180" w:lineRule="exact"/>
        <w:rPr>
          <w:sz w:val="24"/>
          <w:szCs w:val="24"/>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Once the Registration Statement has been declared effective, please orally confirm that event with John T. McKenna of Cooley LLP, counsel to the Registrant, at (650) 843-5059.</w:t>
      </w:r>
    </w:p>
    <w:p>
      <w:pPr>
        <w:spacing w:after="0" w:line="189"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9" w:lineRule="exact"/>
        <w:rPr>
          <w:sz w:val="24"/>
          <w:szCs w:val="24"/>
          <w:color w:val="auto"/>
        </w:rPr>
      </w:pPr>
    </w:p>
    <w:tbl>
      <w:tblPr>
        <w:tblLayout w:type="fixed"/>
        <w:tblInd w:w="6624"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4"/>
                <w:szCs w:val="14"/>
                <w:color w:val="auto"/>
              </w:rPr>
              <w:t>VAI</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ANFORD</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Svai Sanford</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4"/>
          <w:szCs w:val="24"/>
          <w:color w:val="auto"/>
        </w:rPr>
      </w:pPr>
    </w:p>
    <w:p>
      <w:pPr>
        <w:ind w:left="544" w:hanging="544"/>
        <w:spacing w:after="0"/>
        <w:tabs>
          <w:tab w:leader="none" w:pos="5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T. McKenna, Cooley LLP</w:t>
      </w:r>
    </w:p>
    <w:sectPr>
      <w:pgSz w:w="11900" w:h="16838" w:orient="portrait"/>
      <w:cols w:equalWidth="0" w:num="1">
        <w:col w:w="11024"/>
      </w:cols>
      <w:pgMar w:left="436" w:top="22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2025-08-08T23:09:26Z</dcterms:created>
  <dcterms:modified xsi:type="dcterms:W3CDTF">2025-08-08T23:09:26Z</dcterms:modified>
</cp:coreProperties>
</file>