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BUTEL JEAN LUC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60" w:type="dxa"/>
            <w:vAlign w:val="bottom"/>
            <w:tcBorders>
              <w:top w:val="single" w:sz="8" w:color="0000EE"/>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77"/>
        <w:spacing w:after="0" w:line="331" w:lineRule="auto"/>
        <w:rPr>
          <w:sz w:val="20"/>
          <w:szCs w:val="20"/>
          <w:color w:val="auto"/>
        </w:rPr>
      </w:pPr>
      <w:r>
        <w:rPr>
          <w:rFonts w:ascii="Arial" w:cs="Arial" w:eastAsia="Arial" w:hAnsi="Arial"/>
          <w:sz w:val="20"/>
          <w:szCs w:val="20"/>
          <w:color w:val="0000FF"/>
        </w:rPr>
        <w:t>C/O RANI THERAPEUTICS LLC 2051 RINGWOOD AVE.</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80" w:type="dxa"/>
            <w:vAlign w:val="bottom"/>
          </w:tcPr>
          <w:p>
            <w:pPr>
              <w:jc w:val="right"/>
              <w:spacing w:after="0"/>
              <w:rPr>
                <w:sz w:val="20"/>
                <w:szCs w:val="20"/>
                <w:color w:val="auto"/>
              </w:rPr>
            </w:pPr>
            <w:r>
              <w:rPr>
                <w:rFonts w:ascii="Arial" w:cs="Arial" w:eastAsia="Arial" w:hAnsi="Arial"/>
                <w:sz w:val="20"/>
                <w:szCs w:val="20"/>
                <w:color w:val="0000FF"/>
              </w:rPr>
              <w:t>95131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07/28/2031</w:t>
            </w:r>
          </w:p>
        </w:tc>
        <w:tc>
          <w:tcPr>
            <w:tcW w:w="1780" w:type="dxa"/>
            <w:vAlign w:val="bottom"/>
          </w:tcPr>
          <w:p>
            <w:pPr>
              <w:ind w:left="240"/>
              <w:spacing w:after="0"/>
              <w:rPr>
                <w:sz w:val="20"/>
                <w:szCs w:val="20"/>
                <w:color w:val="auto"/>
              </w:rPr>
            </w:pPr>
            <w:r>
              <w:rPr>
                <w:rFonts w:ascii="Arial" w:cs="Arial" w:eastAsia="Arial" w:hAnsi="Arial"/>
                <w:sz w:val="20"/>
                <w:szCs w:val="20"/>
                <w:color w:val="0000FF"/>
                <w:w w:val="97"/>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183,703</w:t>
            </w:r>
          </w:p>
        </w:tc>
        <w:tc>
          <w:tcPr>
            <w:tcW w:w="1000" w:type="dxa"/>
            <w:vAlign w:val="bottom"/>
            <w:vMerge w:val="restart"/>
          </w:tcPr>
          <w:p>
            <w:pPr>
              <w:ind w:left="340"/>
              <w:spacing w:after="0"/>
              <w:rPr>
                <w:sz w:val="20"/>
                <w:szCs w:val="20"/>
                <w:color w:val="auto"/>
              </w:rPr>
            </w:pPr>
            <w:r>
              <w:rPr>
                <w:rFonts w:ascii="Arial" w:cs="Arial" w:eastAsia="Arial" w:hAnsi="Arial"/>
                <w:sz w:val="20"/>
                <w:szCs w:val="20"/>
                <w:color w:val="0000FF"/>
              </w:rPr>
              <w:t>6.99</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ind w:left="700"/>
              <w:spacing w:after="0"/>
              <w:rPr>
                <w:sz w:val="20"/>
                <w:szCs w:val="20"/>
                <w:color w:val="auto"/>
              </w:rPr>
            </w:pPr>
            <w:r>
              <w:rPr>
                <w:rFonts w:ascii="Arial" w:cs="Arial" w:eastAsia="Arial" w:hAnsi="Arial"/>
                <w:sz w:val="20"/>
                <w:szCs w:val="20"/>
                <w:color w:val="0000FF"/>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the option vest as follows: 1/3rd of the shares of the shares subject to the option vests on April 20, 2022; and 1/36th of the shares subject to the option vest monthly thereafter over the following two years.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84"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Josh Seidenfeld,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9601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6012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Jean-  07/29/2021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Luc Butel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49212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92125"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94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Talat Imran and Svai Sanford of Rani Therapeutics Holdings, Inc. and Josh Seidenfeld and Nguyen X. Nguyen of Cooley LLP, or any of them signing singly, with full power of substitution, the undersigned's true and lawful attorney in fact to:</w:t>
      </w:r>
    </w:p>
    <w:p>
      <w:pPr>
        <w:spacing w:after="0" w:line="232" w:lineRule="exact"/>
        <w:rPr>
          <w:sz w:val="20"/>
          <w:szCs w:val="20"/>
          <w:color w:val="auto"/>
        </w:rPr>
      </w:pPr>
    </w:p>
    <w:p>
      <w:pPr>
        <w:ind w:right="460"/>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Rani Therapeutics Holdings, Inc. (the "Company"), Forms</w:t>
      </w:r>
    </w:p>
    <w:p>
      <w:pPr>
        <w:spacing w:after="0" w:line="2" w:lineRule="exact"/>
        <w:rPr>
          <w:rFonts w:ascii="Courier New" w:cs="Courier New" w:eastAsia="Courier New" w:hAnsi="Courier New"/>
          <w:sz w:val="18"/>
          <w:szCs w:val="18"/>
          <w:color w:val="auto"/>
        </w:rPr>
      </w:pPr>
    </w:p>
    <w:p>
      <w:pPr>
        <w:ind w:right="94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and 5 (including any amendments thereto) in accordance with Section 16(a) of the Securities Exchange Act of 1934, as amended (the "Exchange Act") and the rules thereunder and a Form ID, Uniform Application for Access Codes to File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EDGAR;</w:t>
      </w:r>
    </w:p>
    <w:p>
      <w:pPr>
        <w:spacing w:after="0" w:line="230" w:lineRule="exact"/>
        <w:rPr>
          <w:rFonts w:ascii="Courier New" w:cs="Courier New" w:eastAsia="Courier New" w:hAnsi="Courier New"/>
          <w:sz w:val="18"/>
          <w:szCs w:val="18"/>
          <w:color w:val="auto"/>
        </w:rPr>
      </w:pPr>
    </w:p>
    <w:p>
      <w:pPr>
        <w:ind w:right="70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82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580" w:firstLine="937"/>
        <w:spacing w:after="0" w:line="26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209" w:lineRule="exact"/>
        <w:rPr>
          <w:sz w:val="20"/>
          <w:szCs w:val="20"/>
          <w:color w:val="auto"/>
        </w:rPr>
      </w:pPr>
    </w:p>
    <w:p>
      <w:pPr>
        <w:ind w:right="820"/>
        <w:spacing w:after="0" w:line="236" w:lineRule="auto"/>
        <w:rPr>
          <w:sz w:val="20"/>
          <w:szCs w:val="20"/>
          <w:color w:val="auto"/>
        </w:rPr>
      </w:pPr>
      <w:r>
        <w:rPr>
          <w:rFonts w:ascii="Courier New" w:cs="Courier New" w:eastAsia="Courier New" w:hAnsi="Courier New"/>
          <w:sz w:val="20"/>
          <w:szCs w:val="20"/>
          <w:color w:val="auto"/>
        </w:rPr>
        <w:t>nor is the Company assuming, any of the undersigned's responsibilities to comply with Section 16 of the Exchange Act.</w:t>
      </w:r>
    </w:p>
    <w:p>
      <w:pPr>
        <w:spacing w:after="0" w:line="230" w:lineRule="exact"/>
        <w:rPr>
          <w:sz w:val="20"/>
          <w:szCs w:val="20"/>
          <w:color w:val="auto"/>
        </w:rPr>
      </w:pPr>
    </w:p>
    <w:p>
      <w:pPr>
        <w:ind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04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2" w:lineRule="exact"/>
        <w:rPr>
          <w:sz w:val="20"/>
          <w:szCs w:val="20"/>
          <w:color w:val="auto"/>
        </w:rPr>
      </w:pPr>
    </w:p>
    <w:p>
      <w:pPr>
        <w:ind w:right="46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29th day of May,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Jean-Luc Butel</w:t>
      </w:r>
    </w:p>
    <w:p>
      <w:pPr>
        <w:spacing w:after="0" w:line="238" w:lineRule="auto"/>
        <w:rPr>
          <w:sz w:val="20"/>
          <w:szCs w:val="20"/>
          <w:color w:val="auto"/>
        </w:rPr>
      </w:pPr>
      <w:r>
        <w:rPr>
          <w:rFonts w:ascii="Courier New" w:cs="Courier New" w:eastAsia="Courier New" w:hAnsi="Courier New"/>
          <w:sz w:val="20"/>
          <w:szCs w:val="20"/>
          <w:color w:val="auto"/>
        </w:rPr>
        <w:t>Jean-Luc Butel</w:t>
      </w:r>
    </w:p>
    <w:sectPr>
      <w:pgSz w:w="11900" w:h="16838" w:orient="portrait"/>
      <w:cols w:equalWidth="0" w:num="1">
        <w:col w:w="10180"/>
      </w:cols>
      <w:pgMar w:left="480" w:top="13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260801"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2021-07-29T20:55:38Z</dcterms:created>
  <dcterms:modified xsi:type="dcterms:W3CDTF">2021-07-29T20:55:38Z</dcterms:modified>
</cp:coreProperties>
</file>