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Times New Roman" w:cs="Times New Roman" w:eastAsia="Times New Roman" w:hAnsi="Times New Roman"/>
          <w:sz w:val="19"/>
          <w:szCs w:val="19"/>
          <w:color w:val="auto"/>
        </w:rPr>
        <w:t>RANI THERAPEUTICS HOLDINGS, INC.</w:t>
      </w:r>
    </w:p>
    <w:p>
      <w:pPr>
        <w:spacing w:after="0" w:line="36" w:lineRule="exact"/>
        <w:rPr>
          <w:sz w:val="24"/>
          <w:szCs w:val="24"/>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7" w:lineRule="exact"/>
        <w:rPr>
          <w:sz w:val="24"/>
          <w:szCs w:val="24"/>
          <w:color w:val="auto"/>
        </w:rPr>
      </w:pPr>
    </w:p>
    <w:p>
      <w:pPr>
        <w:jc w:val="center"/>
        <w:ind w:right="-183"/>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9, 2022</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Abby Adams</w:t>
      </w:r>
    </w:p>
    <w:p>
      <w:pPr>
        <w:spacing w:after="0" w:line="27"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color w:val="auto"/>
        </w:rPr>
        <w:t>Alan Campbell</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Rani Therapeutics Holdings,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333-266444</w:t>
      </w:r>
    </w:p>
    <w:p>
      <w:pPr>
        <w:sectPr>
          <w:pgSz w:w="11900" w:h="16838" w:orient="portrait"/>
          <w:cols w:equalWidth="0" w:num="1">
            <w:col w:w="10844"/>
          </w:cols>
          <w:pgMar w:left="436" w:top="225" w:right="619" w:bottom="1440" w:gutter="0" w:footer="0" w:header="0"/>
        </w:sectPr>
      </w:pPr>
    </w:p>
    <w:p>
      <w:pPr>
        <w:spacing w:after="0" w:line="230" w:lineRule="exact"/>
        <w:rPr>
          <w:sz w:val="24"/>
          <w:szCs w:val="24"/>
          <w:color w:val="auto"/>
        </w:rPr>
      </w:pPr>
    </w:p>
    <w:p>
      <w:pPr>
        <w:jc w:val="right"/>
        <w:ind w:left="444"/>
        <w:spacing w:after="0" w:line="268" w:lineRule="auto"/>
        <w:rPr>
          <w:sz w:val="20"/>
          <w:szCs w:val="20"/>
          <w:color w:val="auto"/>
        </w:rPr>
      </w:pPr>
      <w:r>
        <w:rPr>
          <w:rFonts w:ascii="Times New Roman" w:cs="Times New Roman" w:eastAsia="Times New Roman" w:hAnsi="Times New Roman"/>
          <w:sz w:val="18"/>
          <w:szCs w:val="18"/>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11, 2022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4:15 PM Eastern Time</w:t>
      </w:r>
    </w:p>
    <w:p>
      <w:pPr>
        <w:spacing w:after="0" w:line="218" w:lineRule="exact"/>
        <w:rPr>
          <w:sz w:val="24"/>
          <w:szCs w:val="24"/>
          <w:color w:val="auto"/>
        </w:rPr>
      </w:pPr>
    </w:p>
    <w:p>
      <w:pPr>
        <w:sectPr>
          <w:pgSz w:w="11900" w:h="16838" w:orient="portrait"/>
          <w:cols w:equalWidth="0" w:num="2">
            <w:col w:w="2104" w:space="560"/>
            <w:col w:w="8180"/>
          </w:cols>
          <w:pgMar w:left="436" w:top="225" w:right="61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Rani Therapeutics Holdings,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hereby requests that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accelerate the effective date of the above-referenced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and declare the Registration Statement effective as of 4:15 p.m. Eastern Daylight Time, on August 11, 2022, or as soon thereafter as possible, or at such other time as the Company or its counsel may request by telephone to the staff of the Commission. The Company hereby authorizes each of Josh Seidenfeld and John McKenna of Cooley LLP, counsel to the Company, to make such a request on its behalf.</w:t>
      </w:r>
    </w:p>
    <w:p>
      <w:pPr>
        <w:spacing w:after="0" w:line="168"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Josh Seidenfeld of Cooley LLP at</w:t>
      </w:r>
    </w:p>
    <w:p>
      <w:pPr>
        <w:spacing w:after="0" w:line="27" w:lineRule="exact"/>
        <w:rPr>
          <w:sz w:val="24"/>
          <w:szCs w:val="24"/>
          <w:color w:val="auto"/>
        </w:rPr>
      </w:pPr>
    </w:p>
    <w:p>
      <w:pPr>
        <w:ind w:left="4624" w:right="4440" w:hanging="4624"/>
        <w:spacing w:after="0" w:line="555" w:lineRule="auto"/>
        <w:tabs>
          <w:tab w:leader="none" w:pos="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843-5862, or in his absence, John McKenna of Cooley LLP at (650) 843-5059. [Signature page follows]</w:t>
      </w:r>
    </w:p>
    <w:p>
      <w:pPr>
        <w:sectPr>
          <w:pgSz w:w="11900" w:h="16838" w:orient="portrait"/>
          <w:cols w:equalWidth="0" w:num="1">
            <w:col w:w="10844"/>
          </w:cols>
          <w:pgMar w:left="436" w:top="225" w:right="61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Eric Groen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Eric Groen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Josh Seidenfeld, Cooley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John McKenna, Cooley LLP</w:t>
      </w:r>
    </w:p>
    <w:p>
      <w:pPr>
        <w:spacing w:after="0" w:line="1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[Signature Page to Acceleration Request]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5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2022-09-08T23:10:41Z</dcterms:created>
  <dcterms:modified xsi:type="dcterms:W3CDTF">2022-09-08T23:10:41Z</dcterms:modified>
</cp:coreProperties>
</file>