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Sanford Svai 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Rani Therapeutics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00" w:type="dxa"/>
            <w:vAlign w:val="bottom"/>
            <w:tcBorders>
              <w:top w:val="single" w:sz="8" w:color="0000EE"/>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09/09/2022</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2051 RINGWOOD AVE.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95131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18,362</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120,738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by and surrendered to the Issuer on September 9, 2022, to satisfy tax withholding obligations that arose in connection with the vesting of the restricted stock units granted to Mr. Sanford on September 9, 2021.</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 Seidenfeld,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09/13/2022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Svai Sanford</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1411"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2022-09-13T19:50:49Z</dcterms:created>
  <dcterms:modified xsi:type="dcterms:W3CDTF">2022-09-13T19:50:49Z</dcterms:modified>
</cp:coreProperties>
</file>