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3, 2025</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61"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5640" w:type="dxa"/>
            <w:vAlign w:val="bottom"/>
            <w:gridSpan w:val="3"/>
          </w:tcPr>
          <w:p>
            <w:pPr>
              <w:ind w:left="18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580" w:type="dxa"/>
            <w:vAlign w:val="bottom"/>
          </w:tcPr>
          <w:p>
            <w:pPr>
              <w:spacing w:after="0"/>
              <w:rPr>
                <w:sz w:val="18"/>
                <w:szCs w:val="18"/>
                <w:color w:val="auto"/>
              </w:rPr>
            </w:pPr>
          </w:p>
        </w:tc>
      </w:tr>
      <w:tr>
        <w:trPr>
          <w:trHeight w:val="188"/>
        </w:trPr>
        <w:tc>
          <w:tcPr>
            <w:tcW w:w="25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79"/>
        </w:trPr>
        <w:tc>
          <w:tcPr>
            <w:tcW w:w="564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80" w:type="dxa"/>
            <w:vAlign w:val="bottom"/>
          </w:tcPr>
          <w:p>
            <w:pPr>
              <w:jc w:val="center"/>
              <w:ind w:left="65"/>
              <w:spacing w:after="0"/>
              <w:rPr>
                <w:sz w:val="20"/>
                <w:szCs w:val="20"/>
                <w:color w:val="auto"/>
              </w:rPr>
            </w:pPr>
            <w:r>
              <w:rPr>
                <w:rFonts w:ascii="Times New Roman" w:cs="Times New Roman" w:eastAsia="Times New Roman" w:hAnsi="Times New Roman"/>
                <w:sz w:val="16"/>
                <w:szCs w:val="16"/>
                <w:b w:val="1"/>
                <w:bCs w:val="1"/>
                <w:color w:val="auto"/>
                <w:w w:val="98"/>
              </w:rPr>
              <w:t>86-3114789</w:t>
            </w:r>
          </w:p>
        </w:tc>
      </w:tr>
      <w:tr>
        <w:trPr>
          <w:trHeight w:val="148"/>
        </w:trPr>
        <w:tc>
          <w:tcPr>
            <w:tcW w:w="5640" w:type="dxa"/>
            <w:vAlign w:val="bottom"/>
            <w:gridSpan w:val="3"/>
          </w:tcPr>
          <w:p>
            <w:pPr>
              <w:jc w:val="center"/>
              <w:ind w:right="37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80" w:type="dxa"/>
            <w:vAlign w:val="bottom"/>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8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Talat Imran</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Rani Therapeutics Holdings, Inc.</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2051 Ringwood Avenue</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San Jose, CA 95131</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(408) 457-3700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Josh Seidenfeld</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John T. McKenna</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3175 Hanover Street</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5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2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34" w:lineRule="exact"/>
        <w:rPr>
          <w:sz w:val="24"/>
          <w:szCs w:val="24"/>
          <w:color w:val="auto"/>
        </w:rPr>
      </w:pPr>
    </w:p>
    <w:p>
      <w:pPr>
        <w:ind w:left="120" w:right="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8" w:lineRule="exact"/>
        <w:rPr>
          <w:sz w:val="24"/>
          <w:szCs w:val="24"/>
          <w:color w:val="auto"/>
        </w:rPr>
      </w:pPr>
    </w:p>
    <w:p>
      <w:pPr>
        <w:ind w:left="1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91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349" w:type="dxa"/>
        <w:tblCellMar>
          <w:top w:w="0" w:type="dxa"/>
          <w:left w:w="0" w:type="dxa"/>
          <w:bottom w:w="0" w:type="dxa"/>
          <w:right w:w="0" w:type="dxa"/>
        </w:tblCellMar>
      </w:tblPr>
      <w:tr>
        <w:trPr>
          <w:trHeight w:val="78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FF4338"/>
              </w:rPr>
              <w:t>offer to sell</w:t>
            </w:r>
          </w:p>
        </w:tc>
      </w:tr>
    </w:tbl>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28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F4338"/>
              </w:rPr>
              <w:t>the</w:t>
            </w:r>
          </w:p>
        </w:tc>
      </w:tr>
    </w:tbl>
    <w:p>
      <w:pPr>
        <w:spacing w:after="0" w:line="40" w:lineRule="exact"/>
        <w:rPr>
          <w:sz w:val="20"/>
          <w:szCs w:val="20"/>
          <w:color w:val="auto"/>
        </w:rPr>
      </w:pPr>
    </w:p>
    <w:tbl>
      <w:tblPr>
        <w:tblLayout w:type="fixed"/>
        <w:tblInd w:w="17" w:type="dxa"/>
        <w:tblCellMar>
          <w:top w:w="0" w:type="dxa"/>
          <w:left w:w="0" w:type="dxa"/>
          <w:bottom w:w="0" w:type="dxa"/>
          <w:right w:w="0" w:type="dxa"/>
        </w:tblCellMar>
      </w:tblPr>
      <w:tr>
        <w:trPr>
          <w:trHeight w:val="10540"/>
        </w:trPr>
        <w:tc>
          <w:tcPr>
            <w:tcW w:w="684" w:type="dxa"/>
            <w:vAlign w:val="bottom"/>
            <w:textDirection w:val="btLr"/>
          </w:tcPr>
          <w:p>
            <w:pPr>
              <w:spacing w:after="0" w:line="280" w:lineRule="auto"/>
              <w:rPr>
                <w:sz w:val="20"/>
                <w:szCs w:val="20"/>
                <w:color w:val="auto"/>
              </w:rPr>
            </w:pPr>
            <w:r>
              <w:rPr>
                <w:rFonts w:ascii="Arial" w:cs="Arial" w:eastAsia="Arial" w:hAnsi="Arial"/>
                <w:sz w:val="17"/>
                <w:szCs w:val="17"/>
                <w:b w:val="1"/>
                <w:bCs w:val="1"/>
                <w:color w:val="FF4338"/>
              </w:rPr>
              <w:t>these securities nor does it seek an offer to buy these securities in any jurisdiction where the offer or sale is not permitted. registration statement filed with the Securities and Exchange Commission is effective. This preliminary prospectus is not an The information in this preliminary prospectus is not complete and may be changed. These securities may not be sold until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July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491490</wp:posOffset>
            </wp:positionV>
            <wp:extent cx="1165860" cy="574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58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Up to 13,160,172 Shares of Class A Common Stock Issuable Upon Exercise of Warrant</w:t>
      </w:r>
    </w:p>
    <w:p>
      <w:pPr>
        <w:spacing w:after="0" w:line="200" w:lineRule="exact"/>
        <w:rPr>
          <w:sz w:val="20"/>
          <w:szCs w:val="20"/>
          <w:color w:val="auto"/>
        </w:rPr>
      </w:pPr>
    </w:p>
    <w:p>
      <w:pPr>
        <w:spacing w:after="0" w:line="343" w:lineRule="exact"/>
        <w:rPr>
          <w:sz w:val="20"/>
          <w:szCs w:val="20"/>
          <w:color w:val="auto"/>
        </w:rPr>
      </w:pPr>
    </w:p>
    <w:p>
      <w:pPr>
        <w:ind w:right="280" w:firstLine="371"/>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resale from time to time by the selling stockholder of up to 13,160,172 shares of Class A common stock issuable upon exercise of a Series D common stock warrant.</w:t>
      </w:r>
    </w:p>
    <w:p>
      <w:pPr>
        <w:spacing w:after="0" w:line="351"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8"/>
          <w:szCs w:val="18"/>
          <w:color w:val="auto"/>
        </w:rPr>
        <w:t>In May 2025, we issued the Series D common stock warrant to the selling stockholder pursuant to a letter agreement and the selling stockholder exercised for cash certain existing warrants at a reduced exercise price of $0.65 per share in consideration the issuance of the Series D common stock warrant.</w:t>
      </w:r>
    </w:p>
    <w:p>
      <w:pPr>
        <w:spacing w:after="0" w:line="351" w:lineRule="exact"/>
        <w:rPr>
          <w:sz w:val="20"/>
          <w:szCs w:val="20"/>
          <w:color w:val="auto"/>
        </w:rPr>
      </w:pPr>
    </w:p>
    <w:p>
      <w:pPr>
        <w:ind w:right="180" w:firstLine="371"/>
        <w:spacing w:after="0" w:line="266" w:lineRule="auto"/>
        <w:rPr>
          <w:sz w:val="20"/>
          <w:szCs w:val="20"/>
          <w:color w:val="auto"/>
        </w:rPr>
      </w:pPr>
      <w:r>
        <w:rPr>
          <w:rFonts w:ascii="Times New Roman" w:cs="Times New Roman" w:eastAsia="Times New Roman" w:hAnsi="Times New Roman"/>
          <w:sz w:val="18"/>
          <w:szCs w:val="18"/>
          <w:color w:val="auto"/>
        </w:rPr>
        <w:t>We are not selling any shares of Class A common stock pursuant to this prospectus, and we will not receive any proceeds from the sale of shares of Class A common stock offered by this prospectus by the selling stockholder, except with respect to amounts received by us upon exercise of the Series D common stock warrant.</w:t>
      </w:r>
    </w:p>
    <w:p>
      <w:pPr>
        <w:spacing w:after="0" w:line="351" w:lineRule="exact"/>
        <w:rPr>
          <w:sz w:val="20"/>
          <w:szCs w:val="20"/>
          <w:color w:val="auto"/>
        </w:rPr>
      </w:pPr>
    </w:p>
    <w:p>
      <w:pPr>
        <w:ind w:firstLine="371"/>
        <w:spacing w:after="0" w:line="256" w:lineRule="auto"/>
        <w:rPr>
          <w:sz w:val="20"/>
          <w:szCs w:val="20"/>
          <w:color w:val="auto"/>
        </w:rPr>
      </w:pPr>
      <w:r>
        <w:rPr>
          <w:rFonts w:ascii="Times New Roman" w:cs="Times New Roman" w:eastAsia="Times New Roman" w:hAnsi="Times New Roman"/>
          <w:sz w:val="18"/>
          <w:szCs w:val="18"/>
          <w:color w:val="auto"/>
        </w:rPr>
        <w:t>The selling stockholder may offer and sell or otherwise dispose of the shares of our Class A common stock described in this prospectus from time to time through public or private transactions at prevailing market prices, at prices related to prevailing market prices or at privately negotiated prices. The selling stockholder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 may sell or dispose of its shares of our Class A common stock.</w:t>
      </w:r>
    </w:p>
    <w:p>
      <w:pPr>
        <w:spacing w:after="0" w:line="376" w:lineRule="exact"/>
        <w:rPr>
          <w:sz w:val="20"/>
          <w:szCs w:val="20"/>
          <w:color w:val="auto"/>
        </w:rPr>
      </w:pPr>
    </w:p>
    <w:p>
      <w:pPr>
        <w:ind w:right="60" w:firstLine="371"/>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 2025, the last reported sale price of the Class A common stock was $0.53 per share.</w:t>
      </w:r>
    </w:p>
    <w:p>
      <w:pPr>
        <w:spacing w:after="0" w:line="324" w:lineRule="exact"/>
        <w:rPr>
          <w:sz w:val="20"/>
          <w:szCs w:val="20"/>
          <w:color w:val="auto"/>
        </w:rPr>
      </w:pPr>
    </w:p>
    <w:p>
      <w:pPr>
        <w:ind w:right="260" w:firstLine="37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and under similar headings in the other documents that are incorporated by reference into this prospectus.</w:t>
      </w:r>
    </w:p>
    <w:p>
      <w:pPr>
        <w:spacing w:after="0" w:line="356" w:lineRule="exact"/>
        <w:rPr>
          <w:sz w:val="20"/>
          <w:szCs w:val="20"/>
          <w:color w:val="auto"/>
        </w:rPr>
      </w:pPr>
    </w:p>
    <w:p>
      <w:pPr>
        <w:ind w:right="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2">
            <w:col w:w="701" w:space="279"/>
            <w:col w:w="928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66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440" w:type="dxa"/>
            <w:vAlign w:val="bottom"/>
            <w:gridSpan w:val="6"/>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580" w:type="dxa"/>
            <w:vAlign w:val="bottom"/>
            <w:gridSpan w:val="8"/>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9"/>
          </w:tcPr>
          <w:p>
            <w:pPr>
              <w:spacing w:after="0"/>
              <w:rPr>
                <w:sz w:val="17"/>
                <w:szCs w:val="17"/>
                <w:color w:val="auto"/>
              </w:rPr>
            </w:pPr>
          </w:p>
        </w:tc>
        <w:tc>
          <w:tcPr>
            <w:tcW w:w="1340" w:type="dxa"/>
            <w:vAlign w:val="bottom"/>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3800" w:type="dxa"/>
            <w:vAlign w:val="bottom"/>
            <w:gridSpan w:val="5"/>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60" w:type="dxa"/>
            <w:vAlign w:val="bottom"/>
            <w:gridSpan w:val="7"/>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4620" w:type="dxa"/>
            <w:vAlign w:val="bottom"/>
            <w:gridSpan w:val="9"/>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400" w:type="dxa"/>
            <w:vAlign w:val="bottom"/>
            <w:gridSpan w:val="11"/>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71"/>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Class A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“Rani,” “Company,” “we,” “us” and “our” refer to Rani Therapeutics Holdings, Inc., or Rani Holdings, together with its subsidiaries, Rani Therapeutics, LLC, or Rani LLC.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jc w:val="both"/>
        <w:ind w:left="300" w:right="200" w:firstLine="426"/>
        <w:spacing w:after="0" w:line="273" w:lineRule="auto"/>
        <w:rPr>
          <w:sz w:val="20"/>
          <w:szCs w:val="20"/>
          <w:color w:val="auto"/>
        </w:rPr>
      </w:pPr>
      <w:r>
        <w:rPr>
          <w:rFonts w:ascii="Times New Roman" w:cs="Times New Roman" w:eastAsia="Times New Roman" w:hAnsi="Times New Roman"/>
          <w:sz w:val="17"/>
          <w:szCs w:val="17"/>
          <w:color w:val="auto"/>
        </w:rPr>
        <w:t>Our technology comprises a drug-agnostic oral delivery platform, the RaniPill capsule, which is designed to deliver a wide variety of drug substances, including antibodies, proteins, peptides, and oligonucleotides. We have two configurations of the platform—the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mid-2025. We believe, the RaniPill capsule technology could enable us to deliver most biologics currently on the market with convenient, oral dosing.</w:t>
      </w:r>
    </w:p>
    <w:p>
      <w:pPr>
        <w:spacing w:after="0" w:line="17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 of Series D Common Stock Warrant</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Pursuant to that certain letter agreement, dated May 20, 2025, the selling stockholder exercised for cash certain existing warrants at a reduced exercise price of $0.65 per share in consideration for us issuing to the selling stockholder in a private placement, the Series D common stock warrant to purchase up to 13,160,172 shares of Class A common stock, which we refer to as the Series D common stock warrant.</w:t>
      </w:r>
    </w:p>
    <w:p>
      <w:pPr>
        <w:spacing w:after="0" w:line="176"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Series D common stock warrant has an exercise price of $0.65 per whole share, is exercisable immediately and expires five years from the date of stockholder approval of the shares of Class A common stock issuable upon exercise of the Series D common stock warrant.</w:t>
      </w:r>
    </w:p>
    <w:p>
      <w:pPr>
        <w:spacing w:after="0" w:line="162"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We are only registering pursuant to the registration statement of which this prospectus forms a part the shares of Class A common stock issuable upon exercise of the Series D common stock warrant.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10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2910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Class A common stock by the selling stockholder in this offering, except with respect to amounts received by us upon exercise of the Series D common stock warrant, to the extent the warrant is exercised for cash. The selling stockholder will receive all of the proceeds from the sale of shares of our Class A common stock hereunder.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 We do not intend to list the Series D common stock warrant on any national securities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 xml:space="preserve">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 are located at 2051 Ringwood Ave., San Jose, California 95131 and our telephone number is (408) 457-3700. Our corporate website address is </w:t>
      </w:r>
      <w:r>
        <w:rPr>
          <w:rFonts w:ascii="Times New Roman" w:cs="Times New Roman" w:eastAsia="Times New Roman" w:hAnsi="Times New Roman"/>
          <w:sz w:val="18"/>
          <w:szCs w:val="18"/>
          <w:i w:val="1"/>
          <w:iCs w:val="1"/>
          <w:color w:val="auto"/>
        </w:rPr>
        <w:t>www.ranitherapeutics.com</w:t>
      </w:r>
      <w:r>
        <w:rPr>
          <w:rFonts w:ascii="Times New Roman" w:cs="Times New Roman" w:eastAsia="Times New Roman" w:hAnsi="Times New Roman"/>
          <w:sz w:val="18"/>
          <w:szCs w:val="18"/>
          <w:color w:val="auto"/>
        </w:rPr>
        <w:t>. The contents of our website are not incorporated by reference herein, and any references to our website is intended to be inactive textual references only.</w:t>
      </w:r>
    </w:p>
    <w:p>
      <w:pPr>
        <w:spacing w:after="0" w:line="3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Before deciding whether to invest in our Class A common stock, you should consider carefully the risks and uncertainties described under the heading “Risk Factors” contained in our most recent annual report on Form</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10-K, as updated by our subsequent quarterly reports on Form 10-Q and other filings we make with the Securities and Exchange Commission, or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existing operations and continue as a going concern;</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improve our liquidity and financial position in response to the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a certain Tax Receivable Agreement with certain of the Continuing LLC Owners (defined below)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from the exercise of the Series D common stock warrant, if any;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in greater detail, and incorporate by reference into this prospectus in their entirety, many of these risks under the section titled “Risk Factors” in our most recent annual report on Form 10-K, and in our subsequent quarterly reports on Form 10-Q, as updated by our subsequent filings under the Exchange Act, which are incorporated herein by reference, as may be updated or superseded by the risks and uncertainties described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the shares of our Class A common stock to be sold pursuant to this prospectus will be sold by the selling stockholder. We will not receive any of the proceeds from such sales.</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Series D common stock warrant may be exercised for cash or in certain limited circumstances on a net exercise or “cashless” basis. If the Series D common stock warrant is exercised for cash, we will receive approximately $8.6 million in connection with such exercise. There can be no assurances that any of the Series D common stock warrant will be exercised for cash.</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private placement to purchase LLC interests from Rani LLC. We intend to cause Rani LLC to use the net proceeds from such purchase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described above represents our current intentions based on our present plans and business condition. We cannot predict with certainty all of the particular uses for such proceeds or the actual amounts that we will spend on the uses set forth above. The amounts and timing of our actual expenditures will depend on numerous factors, including the time and cost necessary to conduct our planned clinical trials, the results of our planned clinical trials and other factors described in “Risk Factors” in this prospectus, as well as the amount of cash used in our operations and any unforeseen cash needs.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and we intend to invest the net proceeds that are not used as described above in short-term, investment-grade, interest-bearing instruments.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 shares of Class A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shares of Class B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Class C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par value $0.0001 per share.</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we had 39,237,228 shares of Class A common stock issued and outstanding, 23,970,359 shares of Class B common stock, and no shares of Class C common stock or preferred stock issued and outstanding.</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and provisions of our amended and restated certificate of incorporation and amended and restated bylaws affecting the rights of holders of our capital stock is set forth below. The description is intended as a summary, and is qualified in its entirety by reference to our amended and restated certificate of incorporation and our amended and restated bylaws which are incorporated by reference into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our current or former directors, officers, or other employees to us or our stockholders;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governed by the internal affairs doctrine.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w:t>
      </w:r>
    </w:p>
    <w:p>
      <w:pPr>
        <w:spacing w:after="0" w:line="89"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5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108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persons who are directors and also officers of such corporation and (B) by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We do not intend to list the Series D common stock warrant on any national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may offer and sell, from time to time, any or all of the shares of Class A common stock being offered for resale by this prospectus, which consists of up to 13,160,172 shares of Class A common stock issuable upon exercise of the Series D common stock warrant. For additional information regarding the issuance of these securities, see the section titled “Prospectus Summary—Private Placement of Series D Common Stock Warrant.”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described in this prospectus, the selling stockholder has not had any material relationship with us within the past three years, except for the following transactions:</w:t>
      </w:r>
    </w:p>
    <w:p>
      <w:pPr>
        <w:spacing w:after="0" w:line="67" w:lineRule="exact"/>
        <w:rPr>
          <w:sz w:val="20"/>
          <w:szCs w:val="20"/>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selling stockholder purchased in a registered direct offering 2,800,000 shares of our Class A common stock, a pre-funded warrant to purchase 446,753 shares of Class A common stock, a Series A common stock warrant exercisable for 3,246,753 shares of our Class A common stock and a Series B common stock warrant exercisable for 3,246,753 shares of our Class A common stock; and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selling stockholder purchased in a registered direct offering 3,000,000 shares of our Class A common stock, a pre-funded warrant to purchase 333,333 shares of Class A common stock, a Series C common stock warrant exercisable for 3,333,333 shares of our Class A common stock, and agreed to cancel the Series A common stock warrant exercisable for 3,246,753 shares of our Class A common stock issued in July 2024.</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covers the resale of the maximum number of shares of Class A common stock issuable upon exercise of the Series D common stock warrant without regard to any limitations on the exercise of such warrant. Under the terms of the Series D common stock warrant held by the selling stockholder, the selling stockholder may not exercise any such warrant to the extent such exercise would cause the selling stockholder, together with its affiliates and attribution parties, to beneficially own a number of shares of Class A common stock which would exceed 4.99%, of our then outstanding shares Class A common stock following such exercise, excluding for purposes of such determination shares of Class A common stock issuable upon exercise of such warrant which have not been exercised. The shares reported under “Beneficial Ownership Prior to This Offering” and “Number of Shares Being Offered” in the table below do not give effect to any such beneficial ownership limitation.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as of June 30, 2025, assuming the full exercise of the warrants held by the selling stockholder on that date, without regard to any limitations on exercises. As of June 30, 2025, we had 63,207,587 shares of common stock issued and outstanding. The following table also provides the number of shares of common stock that may be sold by the selling stockholder under this prospectus and that the selling stockholder will beneficially own assuming all the shares of common stock that may be offered pursuant to this prospectus are sold. Because the selling stockholder may dispose of all, none or some portion of its shares of common stock, no estimate can be given as to the number of shares of common stock that will be beneficially owned by the selling stockholder upon termination of this offering. For purposes of the table below, however, we have assumed that after termination of this offering none of the shares of common stock covered by this prospectus will be beneficially owned by the selling stockholder and further assumed that the selling stockholder will not acquire beneficial ownership of any additional securities during the offering. In addition, the selling stockholder may have sold, transferred or otherwise disposed of, or may sell, transfer or otherwise dispose of, at any time and from time to time, our securities in transactions exempt from the registration requirements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after the date on which the information in the table is presented. See the section titled “Plan of Distribution.”</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Ownership Prior to</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60" w:type="dxa"/>
            <w:vAlign w:val="bottom"/>
            <w:gridSpan w:val="3"/>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262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Shares Being</w:t>
            </w:r>
          </w:p>
        </w:tc>
        <w:tc>
          <w:tcPr>
            <w:tcW w:w="18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After This Offering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80" w:type="dxa"/>
            <w:vAlign w:val="bottom"/>
            <w:tcBorders>
              <w:bottom w:val="single" w:sz="8" w:color="auto"/>
            </w:tcBorders>
            <w:vMerge w:val="continue"/>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spacing w:after="0"/>
              <w:rPr>
                <w:sz w:val="15"/>
                <w:szCs w:val="15"/>
                <w:color w:val="auto"/>
              </w:rPr>
            </w:pPr>
          </w:p>
        </w:tc>
        <w:tc>
          <w:tcPr>
            <w:tcW w:w="1240" w:type="dxa"/>
            <w:vAlign w:val="bottom"/>
            <w:gridSpan w:val="2"/>
          </w:tcPr>
          <w:p>
            <w:pPr>
              <w:jc w:val="center"/>
              <w:ind w:right="340"/>
              <w:spacing w:after="0" w:line="183" w:lineRule="exact"/>
              <w:rPr>
                <w:sz w:val="20"/>
                <w:szCs w:val="20"/>
                <w:color w:val="auto"/>
              </w:rPr>
            </w:pPr>
            <w:r>
              <w:rPr>
                <w:rFonts w:ascii="Times New Roman" w:cs="Times New Roman" w:eastAsia="Times New Roman" w:hAnsi="Times New Roman"/>
                <w:sz w:val="16"/>
                <w:szCs w:val="16"/>
                <w:b w:val="1"/>
                <w:bCs w:val="1"/>
                <w:color w:val="auto"/>
              </w:rPr>
              <w:t>Offered</w:t>
            </w:r>
          </w:p>
        </w:tc>
        <w:tc>
          <w:tcPr>
            <w:tcW w:w="1860" w:type="dxa"/>
            <w:vAlign w:val="bottom"/>
            <w:tcBorders>
              <w:top w:val="single" w:sz="8" w:color="auto"/>
            </w:tcBorders>
            <w:gridSpan w:val="3"/>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5"/>
                <w:szCs w:val="25"/>
                <w:color w:val="auto"/>
                <w:vertAlign w:val="superscript"/>
              </w:rPr>
              <w:t>(1)</w:t>
            </w:r>
          </w:p>
        </w:tc>
        <w:tc>
          <w:tcPr>
            <w:tcW w:w="26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18,081,526</w:t>
            </w:r>
          </w:p>
        </w:tc>
        <w:tc>
          <w:tcPr>
            <w:tcW w:w="52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13,160,172</w:t>
            </w:r>
          </w:p>
        </w:tc>
        <w:tc>
          <w:tcPr>
            <w:tcW w:w="3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4,921,354</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“Beneficial Ownership Prior to This Offering” include the following securities held by Armistice Capital Master Fund Ltd.: (a) 3,760,354 shares of Class A common stock, (b) pre-funded warrants to purchase 1,161,000 shares of Class A common stock, and (c) 13,160,172 shares of Class A common stock issuable upon the exercise of Series D common stock warrant. The securities are directly held by Armistice Capital Master Fund Ltd., a Cayman Islands exempted company (the “Master Fund”) and may be deemed to be beneficially owned by:</w:t>
      </w:r>
    </w:p>
    <w:p>
      <w:pPr>
        <w:spacing w:after="0" w:line="1" w:lineRule="exact"/>
        <w:rPr>
          <w:rFonts w:ascii="Times New Roman" w:cs="Times New Roman" w:eastAsia="Times New Roman" w:hAnsi="Times New Roman"/>
          <w:sz w:val="18"/>
          <w:szCs w:val="18"/>
          <w:color w:val="auto"/>
        </w:rPr>
      </w:pPr>
    </w:p>
    <w:p>
      <w:pPr>
        <w:ind w:left="5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Armistice Capital, LLC (“Armistice Capital”), as the investment manager of the Master Fund; and (ii) Steven Boyd, as the Managing Member of Armistice Capital. The pre-funded warrants are subject to a beneficial ownership limitation of 9.99% and Series D common stock warrant is subject to a beneficial ownership limitation of 4.99%, which such limitations restricts the selling stockholder from exercising that portion of the warrants that would result in the selling stockholder and its affiliates owning, after exercise, a number of shares of Class A common stock in excess of the beneficial ownership limitations. The address of Armistice Capital Master Fund Ltd. is c/o Armistice Capital, LLC, 510 Madison Avenue, 7th Floor, New York, NY 10022.</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and any of its donees, pledgees, assignees, transferees, distributees and successors-in-interest may, from time to time, sell any or all of their shares of Class A common stock covered hereby on The Nasdaq Global Market or any other stock exchange, market or trading facility on which the securities are traded or in private transactions. These sales may be at fixed or negotiated prices. The selling stockholder may use any one or more of the following methods when selling such shares of Class A common stock:</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Class A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shares of Class A common stock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the shares of Class A common stock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of Class A common stock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the shares of Class A common stock short and deliver these securities to close out its short positions, or loan or pledge the securities to broker-dealers that in turn may sell the shares of the Class A common stock. The selling stockholder may also enter into option or other transactions with broker-dealers or other financial institutions or create one or more derivative securities which require the delivery to such broker-dealer or other financial institution of the shares of Class A common stock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selling stockholder and any broker-dealers or agents that are involved in selling the shares of Class A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Securities Act. The selling stockholder has informed us that it does not have any written or oral agreement or understanding, directly or indirectly, with any person to distribute the shares of Class A common stock.</w:t>
      </w:r>
    </w:p>
    <w:p>
      <w:pPr>
        <w:spacing w:after="0" w:line="162"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shares of Class A common stock. We have agreed to indemnify the selling stockholder against certain losses, claims, damages and liabilities, including liabilities under the Securities Act.</w:t>
      </w:r>
    </w:p>
    <w:p>
      <w:pPr>
        <w:spacing w:after="0" w:line="14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keep the registration statement of which this prospectus forms a part effective until the earlier of (i) the date on which the shares of Class A common stock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and (ii) all of the shares of Class A common stock have been sold pursuant to this prospectus or Rule 144 under the Securities Act or any other rule of similar effect. The shares of Class A common stock will be sold only through registered or licensed brokers or dealers if required under applicable state securities laws. In addition, in certain states, the shares of Class A common stock covered hereby may not be sold unless they have been registered or qualified for sale in the applicable state or an exemption from the registration or qualification requirement is available and is complied with.</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of Class A common stock may not simultaneously engage in market making activities with respect to the Class A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Class A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our Class A common stock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 ended December 31, 2024, included in our Annual Report on Form 10-K for the year ended December 31, 2024, as set forth in their report, which is incorporated by reference in this prospectus and elsewhere in the registration statement. Our financial statements are incorporated by reference in reliance on Marcum LLP’s report, which includes an explanatory paragraph as to Rani Therapeutics Holdings, Inc. ability to continue as a going concern, given on their authority as experts in accounting and auditing.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https://www.ranitherapeutics.com.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w:t>
      </w:r>
    </w:p>
    <w:p>
      <w:pPr>
        <w:spacing w:after="0" w:line="9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44">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2025, filed with the SEC on </w:t>
      </w:r>
      <w:hyperlink r:id="rId45">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46">
        <w:r>
          <w:rPr>
            <w:rFonts w:ascii="Times New Roman" w:cs="Times New Roman" w:eastAsia="Times New Roman" w:hAnsi="Times New Roman"/>
            <w:sz w:val="18"/>
            <w:szCs w:val="18"/>
            <w:u w:val="single" w:color="auto"/>
            <w:color w:val="0000EE"/>
          </w:rPr>
          <w:t>April 16,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May 6,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May 20,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May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Exhibit 4.2 to our Annual Report on Form 10-K for the year ended December 31, 2024 filed with the SEC on </w:t>
      </w:r>
      <w:hyperlink r:id="rId53">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can request a copy of these documents and filings, at no cost, by writing or telephoning us at the following address or telephone number:</w:t>
      </w:r>
    </w:p>
    <w:p>
      <w:pPr>
        <w:spacing w:after="0" w:line="1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connection with the issuance and distribution of the securities being registered. All the amounts shown are estimates, except for the SEC registration fee.</w:t>
      </w:r>
    </w:p>
    <w:p>
      <w:pPr>
        <w:spacing w:after="0" w:line="23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81,064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27"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fee is calculated based on the securities offered and the number of issuances and accordingly cannot be estimated at this time.</w:t>
      </w:r>
    </w:p>
    <w:p>
      <w:pPr>
        <w:spacing w:after="0" w:line="351"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jc w:val="both"/>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Rani. The DGCL provides that Section 145 is not exclusive of other rights to which those seeking indemnification may be entitled under any bylaws, agreement, vote of stockholders or disinterested directors or otherwise. Rani’s certificate of incorporation and bylaws provide for indemnification by the Registrant of its directors and officers to the fullest extent permitted by the DGCL.</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Rani has entered into indemnification agreements with each of its directors and executive officers to provide contractual indemnification in addition to the indemnification provided in Rani’s certificate of incorporation. Each indemnification agreement provides for indemnification and advancements by Rani of certain expenses and costs relating to claims, suits or proceedings arising from his or her service to Rani or, at Rani’s request, service to other entities, as officers or directors to the maximum extent permitted by applicable law.</w:t>
      </w:r>
    </w:p>
    <w:p>
      <w:pPr>
        <w:spacing w:after="0" w:line="180"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Rani also maintains standard policies of insurance under which coverage is provided (1) to its directors and officers against loss arising from claims made by reason of breach of duty or other wrongful act, while acting in their capacity as directors and officers of Rani, and (2) to Rani with respect to payments which may be made by the Registrant to such officers and directors pursuant to any indemnification provision contained in the Registrant’s certificate of incorporation and bylaws or otherwise as a matter of law.</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Rani has entered into a registration rights agreement with the stockholders of the shares of Class A common stock registered hereby which obligates the parties to indemnify, under certain circumstances, the other party, its officers, directors, and controlling persons within the meaning of the Securities Act of 1933, as amended, against certain liabilities.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658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0"/>
                <w:szCs w:val="10"/>
                <w:color w:val="auto"/>
              </w:rPr>
            </w:pPr>
          </w:p>
        </w:tc>
        <w:tc>
          <w:tcPr>
            <w:tcW w:w="840" w:type="dxa"/>
            <w:vAlign w:val="bottom"/>
            <w:gridSpan w:val="2"/>
          </w:tcPr>
          <w:p>
            <w:pPr>
              <w:jc w:val="right"/>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 w:type="dxa"/>
            <w:vAlign w:val="bottom"/>
            <w:vMerge w:val="restart"/>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6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Amended and Restated Certificate of Incorporation of Rani Therapeutics Holdings, Inc.</w:t>
              </w:r>
            </w:hyperlink>
          </w:p>
        </w:tc>
        <w:tc>
          <w:tcPr>
            <w:tcW w:w="260" w:type="dxa"/>
            <w:vAlign w:val="bottom"/>
            <w:gridSpan w:val="2"/>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333-257809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4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Bylaws of Rani Therapeutics Holdings, Inc.</w:t>
              </w:r>
            </w:hyperlink>
          </w:p>
        </w:tc>
        <w:tc>
          <w:tcPr>
            <w:tcW w:w="1700" w:type="dxa"/>
            <w:vAlign w:val="bottom"/>
            <w:gridSpan w:val="4"/>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333-257809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7/9/2021</w:t>
            </w: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6580" w:type="dxa"/>
            <w:vAlign w:val="bottom"/>
            <w:gridSpan w:val="1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 </w:t>
            </w:r>
            <w:hyperlink r:id="rId5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through </w:t>
            </w:r>
            <w:hyperlink r:id="rId57">
              <w:r>
                <w:rPr>
                  <w:rFonts w:ascii="Times New Roman" w:cs="Times New Roman" w:eastAsia="Times New Roman" w:hAnsi="Times New Roman"/>
                  <w:sz w:val="18"/>
                  <w:szCs w:val="18"/>
                  <w:color w:val="0000EE"/>
                </w:rPr>
                <w:t>3.2</w:t>
              </w:r>
            </w:hyperlink>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6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Letter Agreement, dated May 20, 2025, by and between Rani Therapeutics Holdings,</w:t>
              </w:r>
            </w:hyperlink>
          </w:p>
        </w:tc>
        <w:tc>
          <w:tcPr>
            <w:tcW w:w="4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gridSpan w:val="1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 and the Investor signatory thereto.</w:t>
              </w:r>
            </w:hyperlink>
          </w:p>
        </w:tc>
        <w:tc>
          <w:tcPr>
            <w:tcW w:w="8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001-40672</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5/20/2025</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30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Form of Series D Common Stock Warrant</w:t>
              </w:r>
            </w:hyperlink>
          </w:p>
        </w:tc>
        <w:tc>
          <w:tcPr>
            <w:tcW w:w="3540" w:type="dxa"/>
            <w:vAlign w:val="bottom"/>
            <w:gridSpan w:val="6"/>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001-40672</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5/20/2025</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00" w:hanging="84"/>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Cooley LLP.</w:t>
      </w:r>
    </w:p>
    <w:p>
      <w:pPr>
        <w:spacing w:after="0" w:line="129"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Marcum LLP, Independent Registered Public Accounting Firm.</w:t>
      </w:r>
    </w:p>
    <w:p>
      <w:pPr>
        <w:spacing w:after="0" w:line="117"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117"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660" w:hanging="54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860" w:right="20" w:hanging="543"/>
        <w:spacing w:after="0" w:line="273" w:lineRule="auto"/>
        <w:tabs>
          <w:tab w:leader="none" w:pos="186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6" w:lineRule="exact"/>
        <w:rPr>
          <w:rFonts w:ascii="Times New Roman" w:cs="Times New Roman" w:eastAsia="Times New Roman" w:hAnsi="Times New Roman"/>
          <w:sz w:val="17"/>
          <w:szCs w:val="17"/>
          <w:color w:val="auto"/>
        </w:rPr>
      </w:pPr>
    </w:p>
    <w:p>
      <w:pPr>
        <w:ind w:left="1860" w:right="80" w:hanging="543"/>
        <w:spacing w:after="0" w:line="282" w:lineRule="auto"/>
        <w:tabs>
          <w:tab w:leader="none" w:pos="18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5" w:lineRule="exact"/>
        <w:rPr>
          <w:sz w:val="20"/>
          <w:szCs w:val="20"/>
          <w:color w:val="auto"/>
        </w:rPr>
      </w:pPr>
    </w:p>
    <w:p>
      <w:pPr>
        <w:ind w:left="1340" w:hanging="687"/>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46"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860" w:right="20" w:hanging="543"/>
        <w:spacing w:after="0" w:line="269" w:lineRule="auto"/>
        <w:tabs>
          <w:tab w:leader="none" w:pos="186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Times New Roman" w:cs="Times New Roman" w:eastAsia="Times New Roman" w:hAnsi="Times New Roman"/>
          <w:sz w:val="17"/>
          <w:szCs w:val="17"/>
          <w:color w:val="auto"/>
        </w:rPr>
      </w:pPr>
    </w:p>
    <w:p>
      <w:pPr>
        <w:ind w:left="1300" w:hanging="644"/>
        <w:spacing w:after="0" w:line="258"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860" w:right="100" w:hanging="543"/>
        <w:spacing w:after="0" w:line="282" w:lineRule="auto"/>
        <w:tabs>
          <w:tab w:leader="none" w:pos="18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660" w:right="180" w:hanging="544"/>
        <w:spacing w:after="0" w:line="289"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 xml:space="preserve">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sz w:val="20"/>
          <w:szCs w:val="20"/>
          <w:color w:val="auto"/>
        </w:rPr>
      </w:pPr>
    </w:p>
    <w:p>
      <w:pPr>
        <w:ind w:left="660" w:hanging="544"/>
        <w:spacing w:after="0" w:line="25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July 3,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ALAT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Talat Imran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Svai Sanford,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Rani Therapeutics Holdings,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ratifying and confirming all that said attorneys-in-fact and agents, or any of them, or their substitutes or substitute, may lawfully do or cause to be done by virtue hereof.</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ALAT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MRAN</w:t>
            </w:r>
          </w:p>
        </w:tc>
        <w:tc>
          <w:tcPr>
            <w:tcW w:w="120" w:type="dxa"/>
            <w:vAlign w:val="bottom"/>
          </w:tcPr>
          <w:p>
            <w:pPr>
              <w:spacing w:after="0"/>
              <w:rPr>
                <w:sz w:val="24"/>
                <w:szCs w:val="24"/>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Talat Imran</w:t>
            </w:r>
          </w:p>
        </w:tc>
        <w:tc>
          <w:tcPr>
            <w:tcW w:w="120" w:type="dxa"/>
            <w:vAlign w:val="bottom"/>
          </w:tcPr>
          <w:p>
            <w:pPr>
              <w:spacing w:after="0"/>
              <w:rPr>
                <w:sz w:val="18"/>
                <w:szCs w:val="18"/>
                <w:color w:val="auto"/>
              </w:rPr>
            </w:pP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80" w:type="dxa"/>
            <w:vAlign w:val="bottom"/>
          </w:tcPr>
          <w:p>
            <w:pPr>
              <w:spacing w:after="0"/>
              <w:rPr>
                <w:sz w:val="18"/>
                <w:szCs w:val="18"/>
                <w:color w:val="auto"/>
              </w:rPr>
            </w:pPr>
          </w:p>
        </w:tc>
      </w:tr>
      <w:tr>
        <w:trPr>
          <w:trHeight w:val="425"/>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tc>
        <w:tc>
          <w:tcPr>
            <w:tcW w:w="120" w:type="dxa"/>
            <w:vAlign w:val="bottom"/>
          </w:tcPr>
          <w:p>
            <w:pPr>
              <w:spacing w:after="0"/>
              <w:rPr>
                <w:sz w:val="24"/>
                <w:szCs w:val="24"/>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Svai Sanford</w:t>
            </w:r>
          </w:p>
        </w:tc>
        <w:tc>
          <w:tcPr>
            <w:tcW w:w="120" w:type="dxa"/>
            <w:vAlign w:val="bottom"/>
          </w:tcPr>
          <w:p>
            <w:pPr>
              <w:spacing w:after="0"/>
              <w:rPr>
                <w:sz w:val="18"/>
                <w:szCs w:val="18"/>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880" w:type="dxa"/>
            <w:vAlign w:val="bottom"/>
          </w:tcPr>
          <w:p>
            <w:pPr>
              <w:spacing w:after="0"/>
              <w:rPr>
                <w:sz w:val="18"/>
                <w:szCs w:val="18"/>
                <w:color w:val="auto"/>
              </w:rPr>
            </w:pPr>
          </w:p>
        </w:tc>
      </w:tr>
      <w:tr>
        <w:trPr>
          <w:trHeight w:val="425"/>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MRAN</w:t>
            </w:r>
          </w:p>
        </w:tc>
        <w:tc>
          <w:tcPr>
            <w:tcW w:w="120" w:type="dxa"/>
            <w:vAlign w:val="bottom"/>
          </w:tcPr>
          <w:p>
            <w:pPr>
              <w:spacing w:after="0"/>
              <w:rPr>
                <w:sz w:val="24"/>
                <w:szCs w:val="24"/>
                <w:color w:val="auto"/>
              </w:rPr>
            </w:pP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182"/>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Mir Imran</w:t>
            </w: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6"/>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UC</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UTEL</w:t>
            </w:r>
          </w:p>
        </w:tc>
        <w:tc>
          <w:tcPr>
            <w:tcW w:w="120" w:type="dxa"/>
            <w:vAlign w:val="bottom"/>
          </w:tcPr>
          <w:p>
            <w:pPr>
              <w:spacing w:after="0"/>
              <w:rPr>
                <w:sz w:val="24"/>
                <w:szCs w:val="24"/>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182"/>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Jean-Luc Butel</w:t>
            </w: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6"/>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NDREW</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ARQUHARSON</w:t>
            </w:r>
          </w:p>
        </w:tc>
        <w:tc>
          <w:tcPr>
            <w:tcW w:w="120" w:type="dxa"/>
            <w:vAlign w:val="bottom"/>
          </w:tcPr>
          <w:p>
            <w:pPr>
              <w:spacing w:after="0"/>
              <w:rPr>
                <w:sz w:val="24"/>
                <w:szCs w:val="24"/>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182"/>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Andrew Farquharson</w:t>
            </w: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6"/>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AULIK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ANAVATY</w:t>
            </w:r>
          </w:p>
        </w:tc>
        <w:tc>
          <w:tcPr>
            <w:tcW w:w="120" w:type="dxa"/>
            <w:vAlign w:val="bottom"/>
          </w:tcPr>
          <w:p>
            <w:pPr>
              <w:spacing w:after="0"/>
              <w:rPr>
                <w:sz w:val="24"/>
                <w:szCs w:val="24"/>
                <w:color w:val="auto"/>
              </w:rPr>
            </w:pPr>
          </w:p>
        </w:tc>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182"/>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Maulik Nanavaty</w:t>
            </w: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38"/>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2300"/>
        <w:spacing w:after="0"/>
        <w:tabs>
          <w:tab w:leader="none" w:pos="6960" w:val="left"/>
          <w:tab w:leader="none" w:pos="100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ENNIS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USIELLO</w:t>
            </w:r>
          </w:p>
        </w:tc>
        <w:tc>
          <w:tcPr>
            <w:tcW w:w="35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July 3, 2025</w:t>
            </w:r>
          </w:p>
        </w:tc>
      </w:tr>
      <w:tr>
        <w:trPr>
          <w:trHeight w:val="182"/>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Dennis Ausiello</w:t>
            </w:r>
          </w:p>
        </w:tc>
        <w:tc>
          <w:tcPr>
            <w:tcW w:w="35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406"/>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ISA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OMETTY</w:t>
            </w:r>
          </w:p>
        </w:tc>
        <w:tc>
          <w:tcPr>
            <w:tcW w:w="35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July 3, 2025</w:t>
            </w:r>
          </w:p>
        </w:tc>
      </w:tr>
      <w:tr>
        <w:trPr>
          <w:trHeight w:val="182"/>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Lisa Rometty</w:t>
            </w:r>
          </w:p>
        </w:tc>
        <w:tc>
          <w:tcPr>
            <w:tcW w:w="35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38"/>
        </w:trPr>
        <w:tc>
          <w:tcPr>
            <w:tcW w:w="4960" w:type="dxa"/>
            <w:vAlign w:val="bottom"/>
          </w:tcPr>
          <w:p>
            <w:pPr>
              <w:spacing w:after="0"/>
              <w:rPr>
                <w:sz w:val="24"/>
                <w:szCs w:val="24"/>
                <w:color w:val="auto"/>
              </w:rPr>
            </w:pPr>
          </w:p>
        </w:tc>
        <w:tc>
          <w:tcPr>
            <w:tcW w:w="3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II-6</w:t>
            </w:r>
          </w:p>
        </w:tc>
        <w:tc>
          <w:tcPr>
            <w:tcW w:w="2040" w:type="dxa"/>
            <w:vAlign w:val="bottom"/>
          </w:tcPr>
          <w:p>
            <w:pPr>
              <w:spacing w:after="0"/>
              <w:rPr>
                <w:sz w:val="24"/>
                <w:szCs w:val="24"/>
                <w:color w:val="auto"/>
              </w:rPr>
            </w:pPr>
          </w:p>
        </w:tc>
      </w:tr>
    </w:tbl>
    <w:p>
      <w:pPr>
        <w:sectPr>
          <w:pgSz w:w="11900" w:h="16838" w:orient="portrait"/>
          <w:cols w:equalWidth="0" w:num="1">
            <w:col w:w="10640"/>
          </w:cols>
          <w:pgMar w:left="320" w:top="455" w:right="9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05890"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14058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McKenna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+1 650 843 5059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jmckenna@cooley.com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have acted as counsel to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including a related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registration for resale of up to 13,160,172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the Class A Common Stock, $0.0001 par value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the Company issuable upon the exercise of an outstanding Series D common stock warrant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The Warrant was issued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pursuant to that certain Letter Agreement (the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dated May 20, 2025.</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Letter Agreement, the Warrant,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Warrant to be exercisable for more shares of Common Stock than the number available for issuance by the Company or that the consideration paid upon exercise of the Warrant is below the par value per share of the Common Stock.</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 qualifications, limitations and exceptions set forth herein, we are of the opinion that the Warrant Shares, when issued and paid for in accordance with the terms of the Warrant, will be validly issued, fully paid and nonassessable.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1020"/>
          </w:cols>
          <w:pgMar w:left="44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1435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T.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8"/>
          <w:szCs w:val="18"/>
          <w:color w:val="auto"/>
        </w:rPr>
        <w:t>John T. McKenna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0980"/>
          </w:cols>
          <w:pgMar w:left="440" w:top="1188" w:right="4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31, 2025, with respect to the financial statements of Rani Therapeutics Holdings, Inc. for the year ended December 31, 2024 included in the Annual Report on Form 10-K.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ectPr>
          <w:pgSz w:w="11900" w:h="16838" w:orient="portrait"/>
          <w:cols w:equalWidth="0" w:num="1">
            <w:col w:w="11020"/>
          </w:cols>
          <w:pgMar w:left="440" w:top="117"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ERNST &amp; YOUNG LLP, INDEPENDENT REGISTERED PUBLIC ACCOUNTING FIRM</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Rani Therapeutics Holdings, Inc. for the registration of 13,160,172 shares of Class A Common Stock and to the incorporation by reference therein of our report dated March 20, 2024, with respect to the consolidated financial statements of Rani Therapeutics Holdings, Inc.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ectPr>
          <w:pgSz w:w="11900" w:h="16838" w:orient="portrait"/>
          <w:cols w:equalWidth="0" w:num="1">
            <w:col w:w="11020"/>
          </w:cols>
          <w:pgMar w:left="440" w:top="117" w:right="439" w:bottom="1440" w:gutter="0" w:footer="0" w:header="0"/>
        </w:sectPr>
      </w:pPr>
    </w:p>
    <w:bookmarkStart w:id="33" w:name="page34"/>
    <w:bookmarkEnd w:id="33"/>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156"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1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ind w:left="13"/>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11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11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1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jc w:val="center"/>
              <w:ind w:left="50"/>
              <w:spacing w:after="0" w:line="206" w:lineRule="exact"/>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Class A Common Stock,</w:t>
            </w:r>
          </w:p>
        </w:tc>
        <w:tc>
          <w:tcPr>
            <w:tcW w:w="7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 xml:space="preserve">13,160,172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p>
        </w:tc>
        <w:tc>
          <w:tcPr>
            <w:tcW w:w="860" w:type="dxa"/>
            <w:vAlign w:val="bottom"/>
            <w:tcBorders>
              <w:bottom w:val="single" w:sz="8" w:color="auto"/>
              <w:right w:val="single" w:sz="8" w:color="auto"/>
            </w:tcBorders>
          </w:tcPr>
          <w:p>
            <w:pPr>
              <w:jc w:val="center"/>
              <w:ind w:left="13"/>
              <w:spacing w:after="0" w:line="247" w:lineRule="exact"/>
              <w:rPr>
                <w:sz w:val="20"/>
                <w:szCs w:val="20"/>
                <w:color w:val="auto"/>
              </w:rPr>
            </w:pPr>
            <w:r>
              <w:rPr>
                <w:rFonts w:ascii="Times New Roman" w:cs="Times New Roman" w:eastAsia="Times New Roman" w:hAnsi="Times New Roman"/>
                <w:sz w:val="18"/>
                <w:szCs w:val="18"/>
                <w:color w:val="auto"/>
                <w:w w:val="99"/>
              </w:rPr>
              <w:t xml:space="preserve">$0.528 </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18"/>
                <w:szCs w:val="18"/>
                <w:color w:val="auto"/>
                <w:w w:val="99"/>
              </w:rPr>
              <w:t xml:space="preserve"> </w:t>
            </w:r>
          </w:p>
        </w:tc>
        <w:tc>
          <w:tcPr>
            <w:tcW w:w="1160" w:type="dxa"/>
            <w:vAlign w:val="bottom"/>
            <w:tcBorders>
              <w:bottom w:val="single" w:sz="8" w:color="auto"/>
              <w:right w:val="single" w:sz="8" w:color="auto"/>
            </w:tcBorders>
          </w:tcPr>
          <w:p>
            <w:pPr>
              <w:jc w:val="center"/>
              <w:ind w:left="8"/>
              <w:spacing w:after="0" w:line="247" w:lineRule="exact"/>
              <w:rPr>
                <w:sz w:val="20"/>
                <w:szCs w:val="20"/>
                <w:color w:val="auto"/>
              </w:rPr>
            </w:pPr>
            <w:r>
              <w:rPr>
                <w:rFonts w:ascii="Times New Roman" w:cs="Times New Roman" w:eastAsia="Times New Roman" w:hAnsi="Times New Roman"/>
                <w:sz w:val="18"/>
                <w:szCs w:val="18"/>
                <w:color w:val="auto"/>
                <w:w w:val="98"/>
              </w:rPr>
              <w:t xml:space="preserve">$6,948,571 </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$0.00015310 </w:t>
            </w:r>
          </w:p>
        </w:tc>
        <w:tc>
          <w:tcPr>
            <w:tcW w:w="820" w:type="dxa"/>
            <w:vAlign w:val="bottom"/>
            <w:tcBorders>
              <w:bottom w:val="single" w:sz="8" w:color="auto"/>
              <w:right w:val="single" w:sz="8" w:color="auto"/>
            </w:tcBorders>
          </w:tcPr>
          <w:p>
            <w:pPr>
              <w:jc w:val="center"/>
              <w:ind w:left="2"/>
              <w:spacing w:after="0" w:line="247" w:lineRule="exact"/>
              <w:rPr>
                <w:sz w:val="20"/>
                <w:szCs w:val="20"/>
                <w:color w:val="auto"/>
              </w:rPr>
            </w:pPr>
            <w:r>
              <w:rPr>
                <w:rFonts w:ascii="Times New Roman" w:cs="Times New Roman" w:eastAsia="Times New Roman" w:hAnsi="Times New Roman"/>
                <w:sz w:val="18"/>
                <w:szCs w:val="18"/>
                <w:color w:val="auto"/>
              </w:rPr>
              <w:t>$1,064</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center"/>
              <w:ind w:left="539"/>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$6,948,571</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center"/>
              <w:ind w:left="539"/>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center"/>
              <w:ind w:left="539"/>
              <w:spacing w:after="0"/>
              <w:rPr>
                <w:sz w:val="20"/>
                <w:szCs w:val="20"/>
                <w:color w:val="auto"/>
              </w:rPr>
            </w:pPr>
            <w:r>
              <w:rPr>
                <w:rFonts w:ascii="Times New Roman" w:cs="Times New Roman" w:eastAsia="Times New Roman" w:hAnsi="Times New Roman"/>
                <w:sz w:val="18"/>
                <w:szCs w:val="18"/>
                <w:color w:val="auto"/>
                <w:w w:val="98"/>
              </w:rPr>
              <w:t>Net Fee Due</w:t>
            </w:r>
          </w:p>
        </w:tc>
        <w:tc>
          <w:tcPr>
            <w:tcW w:w="11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13,160,172 shares of the Registrant’s common stock registered for resale by the selling stockholder named in this registration statement.</w:t>
      </w:r>
    </w:p>
    <w:p>
      <w:pPr>
        <w:spacing w:after="0" w:line="188"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457(c) under the Securities Act, the registration fee has been calculated based upon the average of the high and low prices, as reported by The Nasdaq Global Market, for shares of the Registrant’s common stock on June 30,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408"/>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
    <w:nsid w:val="436C612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9">
    <w:nsid w:val="628C89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jpeg"/><Relationship Id="rId69" Type="http://schemas.openxmlformats.org/officeDocument/2006/relationships/image" Target="media/image48.png"/><Relationship Id="rId70" Type="http://schemas.openxmlformats.org/officeDocument/2006/relationships/image" Target="media/image49.jpeg"/><Relationship Id="rId71" Type="http://schemas.openxmlformats.org/officeDocument/2006/relationships/image" Target="media/image50.png"/><Relationship Id="rId44" Type="http://schemas.openxmlformats.org/officeDocument/2006/relationships/hyperlink" Target="http://www.sec.gov/ix?doc=/Archives/edgar/data/0001856725/000095017025047740/rani-20241231.htm" TargetMode="External"/><Relationship Id="rId45" Type="http://schemas.openxmlformats.org/officeDocument/2006/relationships/hyperlink" Target="http://www.sec.gov/ix?doc=/Archives/edgar/data/0001856725/000095017025070382/rani-20250331.htm" TargetMode="External"/><Relationship Id="rId46" Type="http://schemas.openxmlformats.org/officeDocument/2006/relationships/hyperlink" Target="http://www.sec.gov/ix?doc=/Archives/edgar/data/0001856725/000114036125014078/ny20044394x1_def14a.htm" TargetMode="External"/><Relationship Id="rId47" Type="http://schemas.openxmlformats.org/officeDocument/2006/relationships/hyperlink" Target="http://www.sec.gov/ix?doc=/Archives/edgar/data/0001856725/000095017025052527/rani-20250407.htm" TargetMode="External"/><Relationship Id="rId48" Type="http://schemas.openxmlformats.org/officeDocument/2006/relationships/hyperlink" Target="http://www.sec.gov/ix?doc=/Archives/edgar/data/0001856725/000095017025060586/rani-20250424.htm" TargetMode="External"/><Relationship Id="rId49" Type="http://schemas.openxmlformats.org/officeDocument/2006/relationships/hyperlink" Target="http://www.sec.gov/ix?doc=/Archives/edgar/data/0001856725/000095017025064624/rani-20250501.htm" TargetMode="External"/><Relationship Id="rId50" Type="http://schemas.openxmlformats.org/officeDocument/2006/relationships/hyperlink" Target="http://www.sec.gov/ix?doc=/Archives/edgar/data/0001856725/000119312525122872/d945177d8k.htm" TargetMode="External"/><Relationship Id="rId51" Type="http://schemas.openxmlformats.org/officeDocument/2006/relationships/hyperlink" Target="http://www.sec.gov/ix?doc=/Archives/edgar/data/0001856725/000095017025078949/rani-20250528.htm" TargetMode="External"/><Relationship Id="rId52" Type="http://schemas.openxmlformats.org/officeDocument/2006/relationships/hyperlink" Target="http://www.sec.gov/ix?doc=/Archives/edgar/data/1856725/000095017025090384/rani-20250620.htm" TargetMode="External"/><Relationship Id="rId53" Type="http://schemas.openxmlformats.org/officeDocument/2006/relationships/hyperlink" Target="http://www.sec.gov/Archives/edgar/data/1856725/000095017022005088/rani-ex4_2.htm" TargetMode="External"/><Relationship Id="rId56" Type="http://schemas.openxmlformats.org/officeDocument/2006/relationships/hyperlink" Target="http://www.sec.gov/Archives/edgar/data/1856725/000119312521223596/d151628dex31.htm" TargetMode="External"/><Relationship Id="rId57" Type="http://schemas.openxmlformats.org/officeDocument/2006/relationships/hyperlink" Target="http://www.sec.gov/Archives/edgar/data/1856725/000119312521211922/d151628dex34.htm" TargetMode="External"/><Relationship Id="rId58" Type="http://schemas.openxmlformats.org/officeDocument/2006/relationships/hyperlink" Target="http://www.sec.gov/Archives/edgar/data/1856725/000119312525122872/d945177dex101.htm" TargetMode="External"/><Relationship Id="rId59" Type="http://schemas.openxmlformats.org/officeDocument/2006/relationships/hyperlink" Target="http://www.sec.gov/Archives/edgar/data/1856725/000119312525122872/d94517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2025-07-03T13:56:36Z</dcterms:created>
  <dcterms:modified xsi:type="dcterms:W3CDTF">2025-07-03T13:56:36Z</dcterms:modified>
</cp:coreProperties>
</file>