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Baranowski Lyn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Rani Therapeutics Holdings,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RANI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11/10/2021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C/O RANI THERAPEUTICS LLC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2051 RINGWOOD AVE.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95131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31,695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26.78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31,695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11/09/2031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31,695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-2099945</wp:posOffset>
            </wp:positionV>
            <wp:extent cx="29210" cy="210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32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subject to the option vest as follows: 1/3rd of the shares subject to the option vest on November 10, 2022; and 1/36th of the shares subject to the option vest monthly thereafter over the following two years.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Josh Seidenfeld,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11/12/2021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in-Fact for Lyn Baranowski</w:t>
            </w: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93640" TargetMode="External"/><Relationship Id="rId13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2021-11-13T01:18:16Z</dcterms:created>
  <dcterms:modified xsi:type="dcterms:W3CDTF">2021-11-13T01:18:16Z</dcterms:modified>
</cp:coreProperties>
</file>