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16,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RANI THERAPEUTICS HOLDINGS,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001-40672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86-3114789</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spacing w:after="0" w:line="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2051 Ringwood Avenue</w:t>
      </w:r>
    </w:p>
    <w:p>
      <w:pPr>
        <w:spacing w:after="0" w:line="4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San Jose, California</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95131</w:t>
      </w:r>
    </w:p>
    <w:p>
      <w:pPr>
        <w:spacing w:after="0" w:line="43" w:lineRule="exact"/>
        <w:rPr>
          <w:sz w:val="24"/>
          <w:szCs w:val="24"/>
          <w:color w:val="auto"/>
        </w:rPr>
      </w:pPr>
    </w:p>
    <w:p>
      <w:pPr>
        <w:sectPr>
          <w:pgSz w:w="11900" w:h="16838" w:orient="portrait"/>
          <w:cols w:equalWidth="0" w:num="2">
            <w:col w:w="7400" w:space="720"/>
            <w:col w:w="2900"/>
          </w:cols>
          <w:pgMar w:left="440" w:top="376" w:right="439" w:bottom="1440" w:gutter="0" w:footer="0" w:header="0"/>
          <w:type w:val="continuous"/>
        </w:sectPr>
      </w:pPr>
    </w:p>
    <w:p>
      <w:pPr>
        <w:ind w:left="15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0" w:space="720"/>
            <w:col w:w="3020"/>
          </w:cols>
          <w:pgMar w:left="440" w:top="376"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457-3700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234315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RANI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Material Definitive Agreements</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Securities Purchase Agreement</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On October 16, 2025, Rani Therapeutics Holdings, Inc. (the “Company”) entered into a securities purchase agreement (the “Purchase Agreement”), with</w:t>
      </w:r>
    </w:p>
    <w:p>
      <w:pPr>
        <w:spacing w:after="0" w:line="39" w:lineRule="exact"/>
        <w:rPr>
          <w:sz w:val="20"/>
          <w:szCs w:val="20"/>
          <w:color w:val="auto"/>
        </w:rPr>
      </w:pPr>
    </w:p>
    <w:p>
      <w:pPr>
        <w:ind w:left="4" w:right="20" w:hanging="4"/>
        <w:spacing w:after="0" w:line="250" w:lineRule="auto"/>
        <w:tabs>
          <w:tab w:leader="none" w:pos="2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institutional and accredited investors (the “Institutional Investors”) and (ii) Mir Imran, a member of the Company’s Board of Directors (the “Affiliated Investor” and, together with the Institutional Investors, each, a “Purchaser” and, together, the “Purchasers”), pursuant to which the Company agreed to issue and sell in a private placement (the “Private Placement”) (i) 42,633,337 shares (the “Shares”) of its Class A common stock, par value $0.0001 per share (the “Class A Common Stock”), (ii) warrants to purchase up to an aggregate of 125,000,004 shares of Class A Common Stock or pre-funded warrants (the “Common Warrants”) and (iii) pre-funded warrants to purchase up to an aggregate of 82,366,667 shares of Class A Common Stock (the “Pre-Funded Warrants”). Pursuant to the Purchase Agreement, the purchase price of the Shares to the Institutional Investors is $0.48 per share; and the Purchase Price of the Shares to the Affiliated Investor is $0.605 per share, which reflects the consolidated closing bid price of our Class A Common Stock on October 16, 2025, as reported on the Nasdaq Stock Market, plus $0.125 per Common Warrant. The purchase price of the Pre-Funded Warrants to the Purchasers is $0.4799 per Pre-Funded Warrant, which equals the purchase price per Share minus the $0.0001 exercise price</w:t>
      </w:r>
    </w:p>
    <w:p>
      <w:pPr>
        <w:spacing w:after="0" w:line="3"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Pre-Funded Warrant.</w:t>
      </w:r>
    </w:p>
    <w:p>
      <w:pPr>
        <w:spacing w:after="0" w:line="207"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The aggregate gross proceeds to the Company from the closing of the Private Placement (the “Closing”) are expected to be approximately $60.3 million, before deducting placement agent fees and other expenses payable by the Company, and excluding the proceeds, if any, from the exercise of the Common Warrants.</w:t>
      </w:r>
    </w:p>
    <w:p>
      <w:pPr>
        <w:spacing w:after="0" w:line="176" w:lineRule="exact"/>
        <w:rPr>
          <w:sz w:val="20"/>
          <w:szCs w:val="20"/>
          <w:color w:val="auto"/>
        </w:rPr>
      </w:pPr>
    </w:p>
    <w:p>
      <w:pPr>
        <w:ind w:left="4" w:right="40"/>
        <w:spacing w:after="0" w:line="255" w:lineRule="auto"/>
        <w:rPr>
          <w:sz w:val="20"/>
          <w:szCs w:val="20"/>
          <w:color w:val="auto"/>
        </w:rPr>
      </w:pPr>
      <w:r>
        <w:rPr>
          <w:rFonts w:ascii="Times New Roman" w:cs="Times New Roman" w:eastAsia="Times New Roman" w:hAnsi="Times New Roman"/>
          <w:sz w:val="18"/>
          <w:szCs w:val="18"/>
          <w:color w:val="auto"/>
        </w:rPr>
        <w:t>The Common Warrants will become exercisable following the effective date of stockholder approval and have a term of five years following the initial exercise date. The Common Warrants purchased by the Institutional Investors have an exercise price of $0.48 per share; and the Common Warrants purchased by the Affiliated Investor have an exercise price of $0.48 per share, which reflects the consolidated closing bid price of the Class A Common Stock on October 16, 2025, as reported on the Nasdaq Stock Market. The Pre-Funded Warrants are exercisable immediately following the Closing, have an unlimited term and an exercise price of $0.0001 per share. Pursuant to the Purchase Agreement, the Company also agreed to seek approval from its stockholders for the issuance of the shares issuable upon exercise of the Common Warrants within 75 days following the Closing date of the Private Placement.</w:t>
      </w:r>
    </w:p>
    <w:p>
      <w:pPr>
        <w:spacing w:after="0" w:line="189" w:lineRule="exact"/>
        <w:rPr>
          <w:sz w:val="20"/>
          <w:szCs w:val="20"/>
          <w:color w:val="auto"/>
        </w:rPr>
      </w:pPr>
    </w:p>
    <w:p>
      <w:pPr>
        <w:jc w:val="both"/>
        <w:ind w:left="4" w:right="200"/>
        <w:spacing w:after="0" w:line="261" w:lineRule="auto"/>
        <w:rPr>
          <w:sz w:val="20"/>
          <w:szCs w:val="20"/>
          <w:color w:val="auto"/>
        </w:rPr>
      </w:pPr>
      <w:r>
        <w:rPr>
          <w:rFonts w:ascii="Times New Roman" w:cs="Times New Roman" w:eastAsia="Times New Roman" w:hAnsi="Times New Roman"/>
          <w:sz w:val="18"/>
          <w:szCs w:val="18"/>
          <w:color w:val="auto"/>
        </w:rPr>
        <w:t>H.C. Wainwright &amp; Co., LLC (“Wainwright”) is acting as the lead placement agent in connection with the Private Placement and Maxim Group, LLC (“Maxim,” and collectively with Wainwright, the “Placement Agents”) is acting as co-placement agent in connection with the Private Placement. The Placement Agents are entitled to receive a combined cash fee equal to approximately 6.0% of the aggregate purchase price of the securities sold at the Closing, plus the reimbursement of certain expenses.</w:t>
      </w:r>
    </w:p>
    <w:p>
      <w:pPr>
        <w:spacing w:after="0" w:line="180"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agreements by the Company, customary conditions to closing, and indemnification obligations of the Company and the Purchasers. The representations, warranties and covenants contained in the Purchase Agreement were made only for purposes of the Purchase Agreement and as of a specific date, were solely for the benefit of the parties to the Purchase Agreement, and may be subject to limitations agreed upon by the contracting parties.</w:t>
      </w:r>
    </w:p>
    <w:p>
      <w:pPr>
        <w:spacing w:after="0" w:line="180" w:lineRule="exact"/>
        <w:rPr>
          <w:sz w:val="20"/>
          <w:szCs w:val="20"/>
          <w:color w:val="auto"/>
        </w:rPr>
      </w:pPr>
    </w:p>
    <w:p>
      <w:pPr>
        <w:jc w:val="both"/>
        <w:ind w:left="4" w:right="480"/>
        <w:spacing w:after="0" w:line="266" w:lineRule="auto"/>
        <w:rPr>
          <w:sz w:val="20"/>
          <w:szCs w:val="20"/>
          <w:color w:val="auto"/>
        </w:rPr>
      </w:pPr>
      <w:r>
        <w:rPr>
          <w:rFonts w:ascii="Times New Roman" w:cs="Times New Roman" w:eastAsia="Times New Roman" w:hAnsi="Times New Roman"/>
          <w:sz w:val="18"/>
          <w:szCs w:val="18"/>
          <w:color w:val="auto"/>
        </w:rPr>
        <w:t>The forms of Purchase Agreement, Common Warrant, and Pre-Funded Warrant are filed as Exhibits 10.1, 10.3, and 10.4, hereto, respectively. The foregoing descriptions of the terms of the Purchase Agreement, Common Warrants, and the Pre-Funded Warrants, are qualified in their entirety by reference to such exhibits.</w:t>
      </w:r>
    </w:p>
    <w:p>
      <w:pPr>
        <w:spacing w:after="0" w:line="2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Director Appointments</w:t>
      </w:r>
    </w:p>
    <w:p>
      <w:pPr>
        <w:spacing w:after="0" w:line="119"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Pursuant to the Purchase Agreement, for so long as Samsara BioCapital and its affiliates (together, “Samsara”) and Anomaly Ventures, LLC and its affiliates (together, “Anomaly”) each beneficially own at least 25% of the securities issued to it at the Closing, each of Samsara and Anomaly shall have the right, subject to compliance with the applicable rules and regulations of The Nasdaq Stock Market, to designate one member of the Company’s Board of Directors.</w:t>
      </w:r>
    </w:p>
    <w:p>
      <w:pPr>
        <w:sectPr>
          <w:pgSz w:w="11900" w:h="16838" w:orient="portrait"/>
          <w:cols w:equalWidth="0" w:num="1">
            <w:col w:w="11004"/>
          </w:cols>
          <w:pgMar w:left="436" w:top="29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Registration Rights Agreement</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October 16, 2025, we also entered into a registration rights agreement with the Purchasers (the “Registration Rights Agreement”), pursuant to which we have agreed to file registration statements under the Securities Act of 1933, as amended (the “Securities Act”), with the Securities and Exchange Commission (the “SEC”), covering the resale of the Shares to be issued in the Private Placement and the shares of Class A Common Stock underlying the Common Warrants and Pre-Funded Warrants no later than 15 days following the Closing date, and to use reasonable best efforts to have the registration statement declared effective 45 days after the Closing date, and in any event no later than 90 days following the Closing date in the event of a “full review” by the SEC.</w:t>
      </w:r>
    </w:p>
    <w:p>
      <w:pPr>
        <w:spacing w:after="0" w:line="18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form of Registration Rights Agreement is filed as Exhibit 10.2 hereto. The foregoing description of the terms of the Registration Rights Agreement is qualified in its entirety by reference to such exhibit.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Agreement</w:t>
      </w:r>
    </w:p>
    <w:p>
      <w:pPr>
        <w:spacing w:after="0" w:line="11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previously disclosed, on August 8, 2022, Rani Therapeutics, LLC, an operating subsidiary of the Company (“Rani LLC”), entered into a Loan and Security Agreement and related Supplement (the “Loan Agreement”), by and among Avenue Venture Opportunities Fund, L.P., a Delaware limited partnership (“Avenue”). The Loan Agreement provides for term loans (the “Loans”) in an aggregate principal amount up to $45.0 million.</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October 16, 2025, the Company, Rani LLC and Avenue entered into an amendment to the Loan Agreement (the “LSA Amendment”), effective as of September 30, 2025, pursuant to which Avenue agreed to convert $6.0 million of outstanding Loans into 12,500,000 Shares (or Pre-Funded Warrants in lieu thereof) in connection with the Private Placement and will receive Warrants to purchase up to 12,500,000 shares of Class A Common Stock (or Pre-Funded Warrants in lieu thereof), on the same terms as the Purchasers.</w:t>
      </w:r>
    </w:p>
    <w:p>
      <w:pPr>
        <w:spacing w:after="0" w:line="18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description of the LSA Amendment contained herein does not purport to be complete and is qualified in its entirety by reference to the complete text of the LSA Amendment, a copy of which will be filed as an exhibit to the Company’s Quarterly Report on Form 10-Q for the quarter ended September 30, 2025.</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and License Agreement</w:t>
      </w:r>
    </w:p>
    <w:p>
      <w:pPr>
        <w:spacing w:after="0" w:line="119"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8"/>
          <w:szCs w:val="18"/>
          <w:color w:val="auto"/>
        </w:rPr>
        <w:t>On October 16, 2025, Rani LLC and Chugai Pharmaceutical Co., Ltd. (“Chugai”) entered into a Collaboration and License Agreement (the “Agreement”), effective as of October 14, 2025. Under the Agreement, Rani LLC and Chugai will collaborate to develop, manufacture, seek regulatory approvals for and, if approved, commercialize a product (the “Product”) combining Chugai’s antibody (the “Compound”), which is in development for hemophilia, and the RaniPill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HC oral delivery device (the “Device”) for use in humans.</w:t>
      </w:r>
    </w:p>
    <w:p>
      <w:pPr>
        <w:spacing w:after="0" w:line="4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Under the Agreement, Rani LLC will receive $10.0 million up front and is eligible to receive up to $18.0 million in technology transfer milestones, up to $57.0 million in development milestones, up to $100.0 million in a series of sales-based milestones, and single digit royalties on net sales.</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accordance with a development plan, the parties will share responsibility for the development of the Product worldwide, with Chugai leading and having sole responsibility for clinical, regulatory, and commercial activities. The parties will allocate preclinical, Chemistry Manufacturing and Controls, and manufacturing and supply activities between each other, with Chugai being primarily responsible for development of the Compound and Rani LLC being primarily responsible for development of the Device and Product.</w:t>
      </w:r>
    </w:p>
    <w:p>
      <w:pPr>
        <w:spacing w:after="0" w:line="180"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Under the Agreement, Rani LLC granted Chugai an exclusive, worldwide right and license to certain intellectual property owned by Rani LLC to research, develop, register, manufacture, use, sell, offer to sell, import, export, commercialize, and market the Product. Chugai granted Rani LLC a non-exclusive, worldwide right and license to certain intellectual property owned by Chugai to manufacture and supply the Device and Product to Chugai and to perform its activities under the Agreement. Both parties have the right to sublicense subject to certain conditions.</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addition, Chugai has a one-time limited option to replace the Compound with a different compound subject to certain terms and conditions, a time-limited right of first refusal with respect to a select group of additional targets, and a time-limited option to extend its rights to up to five of the additional drug targets under similar deal terms as the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Agreement also contains customary termination rights, representations, warranties and covenants, and mutual indemnification provisions.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description of the Agreement contained herein does not purport to be complete and is qualified in its entirety by reference to the complete text of the Agreement, a copy of which will be filed as an exhibit to the Company’s Quarterly Report on Form 10-Q for the quarter ended September 30, 2025.</w:t>
      </w:r>
    </w:p>
    <w:p>
      <w:pPr>
        <w:sectPr>
          <w:pgSz w:w="11900" w:h="16838" w:orient="portrait"/>
          <w:cols w:equalWidth="0" w:num="1">
            <w:col w:w="11000"/>
          </w:cols>
          <w:pgMar w:left="440" w:top="295" w:right="459" w:bottom="1440" w:gutter="0" w:footer="0" w:header="0"/>
        </w:sectPr>
      </w:pPr>
    </w:p>
    <w:bookmarkStart w:id="3" w:name="page4"/>
    <w:bookmarkEnd w:id="3"/>
    <w:p>
      <w:pPr>
        <w:ind w:right="1260"/>
        <w:spacing w:after="0" w:line="450"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Item 2.03 Creation of a Direct Financial Obligation or an Obligation under an Off-Balance Sheet Arrangement of a Registrant </w:t>
      </w:r>
      <w:r>
        <w:rPr>
          <w:rFonts w:ascii="Times New Roman" w:cs="Times New Roman" w:eastAsia="Times New Roman" w:hAnsi="Times New Roman"/>
          <w:sz w:val="17"/>
          <w:szCs w:val="17"/>
          <w:color w:val="auto"/>
        </w:rPr>
        <w:t>The information set forth in Item 1.01 under subheading “Loan Agreement” above is incorporated by reference into this Item 2.03.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 of Securities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information contained above in Item 1.01 relating to the Private Placement is hereby incorporated by reference into this Item 3.02. Based in part upon the representations of the Purchasers in the Purchase Agreement, the offering and sale of the securities described above are being offered and sold in a private placement under Section 4(a)(2) of the Securities Act and Regulation D promulgated thereunder, and have not been registered under the Securities Act, or applicable state securities laws. Accordingly, such securities may not be offered or sold in the United States except pursuant to an effective registration statement or an applicable exemption from the registration requirement of the Securities Act and such applicable state securities laws.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Neither this Current Report on Form 8-K nor any exhibit attached hereto is an offer to sell or the solicitation of an offer to buy shares of Common Stock or other securities of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ind w:left="120"/>
        <w:spacing w:after="0" w:line="185" w:lineRule="auto"/>
        <w:tabs>
          <w:tab w:leader="none" w:pos="860" w:val="left"/>
        </w:tabs>
        <w:rPr>
          <w:sz w:val="20"/>
          <w:szCs w:val="20"/>
          <w:color w:val="auto"/>
        </w:rPr>
      </w:pPr>
      <w:r>
        <w:rPr>
          <w:rFonts w:ascii="Times New Roman" w:cs="Times New Roman" w:eastAsia="Times New Roman" w:hAnsi="Times New Roman"/>
          <w:sz w:val="22"/>
          <w:szCs w:val="22"/>
          <w:b w:val="1"/>
          <w:bCs w:val="1"/>
          <w:u w:val="single" w:color="auto"/>
          <w:color w:val="auto"/>
          <w:vertAlign w:val="superscript"/>
        </w:rPr>
        <w:t>No.</w:t>
      </w:r>
      <w:r>
        <w:rPr>
          <w:sz w:val="20"/>
          <w:szCs w:val="20"/>
          <w:color w:val="auto"/>
        </w:rPr>
        <w:tab/>
      </w:r>
      <w:r>
        <w:rPr>
          <w:rFonts w:ascii="Times New Roman" w:cs="Times New Roman" w:eastAsia="Times New Roman" w:hAnsi="Times New Roman"/>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3810</wp:posOffset>
            </wp:positionV>
            <wp:extent cx="64376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37630" cy="8890"/>
                    </a:xfrm>
                    <a:prstGeom prst="rect">
                      <a:avLst/>
                    </a:prstGeom>
                    <a:noFill/>
                  </pic:spPr>
                </pic:pic>
              </a:graphicData>
            </a:graphic>
          </wp:anchor>
        </w:drawing>
      </w:r>
    </w:p>
    <w:p>
      <w:pPr>
        <w:spacing w:after="0" w:line="9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Form of Securities Purchase Agreement, dated October 16, 2025 by and between Rani Therapeutics Holdings, Inc. and the Purchasers</w:t>
      </w:r>
    </w:p>
    <w:p>
      <w:pPr>
        <w:spacing w:after="0" w:line="9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0000EE"/>
        </w:rPr>
        <w:t>Form of Registration Rights Agreement, dated October 16, 2025, by and between Rani Therapeutics Holdings, Inc. and the Purchasers</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u w:val="single" w:color="auto"/>
          <w:color w:val="0000EE"/>
        </w:rPr>
        <w:t>Form of Warrant (October 2025)</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u w:val="single" w:color="auto"/>
          <w:color w:val="0000EE"/>
        </w:rPr>
        <w:t>Form of Pre-Funded Warrant (October 2025)</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40"/>
          </w:cols>
          <w:pgMar w:left="440" w:top="293" w:right="5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17, 2025</w:t>
            </w:r>
          </w:p>
        </w:tc>
        <w:tc>
          <w:tcPr>
            <w:tcW w:w="74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tc>
      </w:tr>
      <w:tr>
        <w:trPr>
          <w:trHeight w:val="432"/>
        </w:trPr>
        <w:tc>
          <w:tcPr>
            <w:tcW w:w="3600" w:type="dxa"/>
            <w:vAlign w:val="bottom"/>
          </w:tcPr>
          <w:p>
            <w:pPr>
              <w:spacing w:after="0"/>
              <w:rPr>
                <w:sz w:val="24"/>
                <w:szCs w:val="24"/>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VAI</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ANFORD</w:t>
            </w:r>
          </w:p>
        </w:tc>
      </w:tr>
      <w:tr>
        <w:trPr>
          <w:trHeight w:val="205"/>
        </w:trPr>
        <w:tc>
          <w:tcPr>
            <w:tcW w:w="3600" w:type="dxa"/>
            <w:vAlign w:val="bottom"/>
          </w:tcPr>
          <w:p>
            <w:pPr>
              <w:spacing w:after="0"/>
              <w:rPr>
                <w:sz w:val="17"/>
                <w:szCs w:val="17"/>
                <w:color w:val="auto"/>
              </w:rPr>
            </w:pPr>
          </w:p>
        </w:tc>
        <w:tc>
          <w:tcPr>
            <w:tcW w:w="2560" w:type="dxa"/>
            <w:vAlign w:val="bottom"/>
          </w:tcPr>
          <w:p>
            <w:pPr>
              <w:ind w:left="19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Svai Sanford</w:t>
            </w:r>
          </w:p>
        </w:tc>
      </w:tr>
      <w:tr>
        <w:trPr>
          <w:trHeight w:val="234"/>
        </w:trPr>
        <w:tc>
          <w:tcPr>
            <w:tcW w:w="3600" w:type="dxa"/>
            <w:vAlign w:val="bottom"/>
          </w:tcPr>
          <w:p>
            <w:pPr>
              <w:spacing w:after="0"/>
              <w:rPr>
                <w:sz w:val="20"/>
                <w:szCs w:val="20"/>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93"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October 16, 2025, by and between Rani Therapeutics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Section 4(a)(2) of the Securities Act (as defined below), and Rule 506 of Regulation D promulgated thereunder, the Company desires to issue and sell to each Purchaser, and each Purchaser, severally and not jointly, desires to purchase from the Company, securities of the Company as more fully described in this Agreement.</w:t>
      </w:r>
    </w:p>
    <w:p>
      <w:pPr>
        <w:spacing w:after="0" w:line="176" w:lineRule="exact"/>
        <w:rPr>
          <w:sz w:val="20"/>
          <w:szCs w:val="20"/>
          <w:color w:val="auto"/>
        </w:rPr>
      </w:pPr>
    </w:p>
    <w:p>
      <w:pPr>
        <w:ind w:right="640" w:firstLine="44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severally and not jointly, agree as follows: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117" w:lineRule="exact"/>
        <w:rPr>
          <w:sz w:val="20"/>
          <w:szCs w:val="20"/>
          <w:color w:val="auto"/>
        </w:rPr>
      </w:pPr>
    </w:p>
    <w:p>
      <w:pPr>
        <w:ind w:left="440" w:right="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have the meaning ascribed to such term in Section 2.1.</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shall have the meaning ascribed to such term in Section 3.1(ll).</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BSA/PATRIOT Act</w:t>
      </w:r>
      <w:r>
        <w:rPr>
          <w:rFonts w:ascii="Times New Roman" w:cs="Times New Roman" w:eastAsia="Times New Roman" w:hAnsi="Times New Roman"/>
          <w:sz w:val="18"/>
          <w:szCs w:val="18"/>
          <w:color w:val="auto"/>
        </w:rPr>
        <w:t>” shall have the meaning ascribed to such term in Section 3.2(g).</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117" w:lineRule="exact"/>
        <w:rPr>
          <w:sz w:val="20"/>
          <w:szCs w:val="20"/>
          <w:color w:val="auto"/>
        </w:rPr>
      </w:pPr>
    </w:p>
    <w:p>
      <w:pPr>
        <w:ind w:left="440" w:right="120"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6" w:name="page7"/>
    <w:bookmarkEnd w:id="6"/>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pacing w:after="0" w:line="117" w:lineRule="exact"/>
        <w:rPr>
          <w:sz w:val="20"/>
          <w:szCs w:val="20"/>
          <w:color w:val="auto"/>
        </w:rPr>
      </w:pPr>
    </w:p>
    <w:p>
      <w:pPr>
        <w:ind w:right="8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117" w:lineRule="exact"/>
        <w:rPr>
          <w:sz w:val="20"/>
          <w:szCs w:val="20"/>
          <w:color w:val="auto"/>
        </w:rPr>
      </w:pPr>
    </w:p>
    <w:p>
      <w:pPr>
        <w:ind w:right="3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Class A common stock of the Company, par value $0.0001 per share, and any other class of securities into which such securities may hereafter be reclassified or changed.</w:t>
      </w:r>
    </w:p>
    <w:p>
      <w:pPr>
        <w:spacing w:after="0" w:line="54" w:lineRule="exact"/>
        <w:rPr>
          <w:sz w:val="20"/>
          <w:szCs w:val="20"/>
          <w:color w:val="auto"/>
        </w:rPr>
      </w:pPr>
    </w:p>
    <w:p>
      <w:pPr>
        <w:ind w:right="4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68" w:lineRule="exact"/>
        <w:rPr>
          <w:sz w:val="20"/>
          <w:szCs w:val="20"/>
          <w:color w:val="auto"/>
        </w:rPr>
      </w:pPr>
    </w:p>
    <w:p>
      <w:pPr>
        <w:ind w:right="6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Warrants</w:t>
      </w:r>
      <w:r>
        <w:rPr>
          <w:rFonts w:ascii="Times New Roman" w:cs="Times New Roman" w:eastAsia="Times New Roman" w:hAnsi="Times New Roman"/>
          <w:sz w:val="18"/>
          <w:szCs w:val="18"/>
          <w:color w:val="auto"/>
        </w:rPr>
        <w:t xml:space="preserve">” means, collectively, the warrants to purchase Common Stock delivered to the Purchasers at the Closing in accordance with Section 2.2(a) hereof, which Common Warrants shall be exercisable upon Stockholder Approval and have a term of exercise equal to five (5) years from the date of the Stockholder Approval,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attached hereto.</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Cooley LLP, with offices located at 3175 Hanover Street Palo Alto, CA 94304-1130.</w:t>
      </w:r>
    </w:p>
    <w:p>
      <w:pPr>
        <w:spacing w:after="0" w:line="117" w:lineRule="exact"/>
        <w:rPr>
          <w:sz w:val="20"/>
          <w:szCs w:val="20"/>
          <w:color w:val="auto"/>
        </w:rPr>
      </w:pPr>
    </w:p>
    <w:p>
      <w:pPr>
        <w:ind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shall have the meaning ascribed to such term in Section 3.1(nn).</w:t>
      </w:r>
    </w:p>
    <w:p>
      <w:pPr>
        <w:spacing w:after="0" w:line="15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00"/>
          </w:cols>
          <w:pgMar w:left="880" w:top="270" w:right="519" w:bottom="1440" w:gutter="0" w:footer="0" w:header="0"/>
        </w:sectPr>
      </w:pPr>
    </w:p>
    <w:bookmarkStart w:id="7" w:name="page8"/>
    <w:bookmarkEnd w:id="7"/>
    <w:p>
      <w:pPr>
        <w:ind w:left="4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earliest of the date that (a) the initial Registration Statement has been declared effective by the Commission,</w:t>
      </w:r>
    </w:p>
    <w:p>
      <w:pPr>
        <w:spacing w:after="0" w:line="27" w:lineRule="exact"/>
        <w:rPr>
          <w:sz w:val="20"/>
          <w:szCs w:val="20"/>
          <w:color w:val="auto"/>
        </w:rPr>
      </w:pPr>
    </w:p>
    <w:p>
      <w:pPr>
        <w:ind w:left="4" w:right="40" w:hanging="4"/>
        <w:spacing w:after="0" w:line="265" w:lineRule="auto"/>
        <w:tabs>
          <w:tab w:leader="none" w:pos="25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Shares and Warrant Shares have been sold pursuant to Rule 144 or may be sold pursuant to Rule 144 without the requirement for the Company to be in compliance with the current public information required under Rule 144 and without volume or manner-of-sale restrictions,</w:t>
      </w:r>
    </w:p>
    <w:p>
      <w:pPr>
        <w:ind w:left="4" w:right="100" w:hanging="4"/>
        <w:spacing w:after="0" w:line="255" w:lineRule="auto"/>
        <w:tabs>
          <w:tab w:leader="none" w:pos="24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one year anniversary of the Closing Date provided that a holder of Shares or Warrant Shares is not an Affiliate of the Company, or (d) all of the Shares and Warrant Shares may be sold pursuant to an exemption from registration under Section 4(a)(1) of the Securities Act without volume or manner-of-sale restrictions.</w:t>
      </w:r>
    </w:p>
    <w:p>
      <w:pPr>
        <w:spacing w:after="0" w:line="78"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EGS</w:t>
      </w:r>
      <w:r>
        <w:rPr>
          <w:rFonts w:ascii="Times New Roman" w:cs="Times New Roman" w:eastAsia="Times New Roman" w:hAnsi="Times New Roman"/>
          <w:sz w:val="18"/>
          <w:szCs w:val="18"/>
          <w:color w:val="auto"/>
        </w:rPr>
        <w:t>” means Ellenoff Grossman &amp; Schole LLP, with offices located at 1345 Avenue of the Americas, New York, New York 10105-0302.</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shall have the meaning ascribed to such term in Section 3.1(m).</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means Continental Stock Transfer &amp; Trust Company, with offices at 1 State Street, 30th Floor, New York, NY 10004.</w:t>
      </w:r>
    </w:p>
    <w:p>
      <w:pPr>
        <w:spacing w:after="0" w:line="117" w:lineRule="exact"/>
        <w:rPr>
          <w:sz w:val="20"/>
          <w:szCs w:val="20"/>
          <w:color w:val="auto"/>
        </w:rPr>
      </w:pPr>
    </w:p>
    <w:p>
      <w:pPr>
        <w:ind w:left="4" w:right="6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Agreement</w:t>
      </w:r>
      <w:r>
        <w:rPr>
          <w:rFonts w:ascii="Times New Roman" w:cs="Times New Roman" w:eastAsia="Times New Roman" w:hAnsi="Times New Roman"/>
          <w:sz w:val="18"/>
          <w:szCs w:val="18"/>
          <w:color w:val="auto"/>
        </w:rPr>
        <w:t>” means the escrow agreement entered into prior to the date hereof, by and among the Company, the Escrow Agent and the Placement Agent pursuant to which certain Purchasers shall deposit Subscription Amounts with the Escrow Agent to be applied to the transactions contemplated hereunder.</w:t>
      </w:r>
    </w:p>
    <w:p>
      <w:pPr>
        <w:spacing w:after="0" w:line="68"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17" w:lineRule="exact"/>
        <w:rPr>
          <w:sz w:val="20"/>
          <w:szCs w:val="20"/>
          <w:color w:val="auto"/>
        </w:rPr>
      </w:pPr>
    </w:p>
    <w:p>
      <w:pPr>
        <w:ind w:left="4" w:firstLine="423"/>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Exempt Issuance</w:t>
      </w:r>
      <w:r>
        <w:rPr>
          <w:rFonts w:ascii="Times New Roman" w:cs="Times New Roman" w:eastAsia="Times New Roman" w:hAnsi="Times New Roman"/>
          <w:sz w:val="17"/>
          <w:szCs w:val="17"/>
          <w:color w:val="auto"/>
        </w:rPr>
        <w:t>” means the issuance of (a) shares of Common Stock or options or restricted stock units to employees, officers or directors of the Company pursuant to any equity incentive plan or employee stock purchase plan duly adopted for such purpose, by a majority of the non-employee members of the Board of Directors or a majority of the members of a committee of non-employee directors established for such purpose for services rendered to the Company, (b) shares of Common Stock upon the exercise or exchange of or conversion of any Securities issued hereunder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4.10(a)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(unless such entity is a subsidiary or affiliate of an operating company or an owner of an asset in a business synergistic with the business of the Company).</w:t>
      </w:r>
    </w:p>
    <w:p>
      <w:pPr>
        <w:spacing w:after="0" w:line="114"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24"/>
          </w:cols>
          <w:pgMar w:left="876" w:top="270" w:right="499" w:bottom="1440" w:gutter="0" w:footer="0" w:header="0"/>
        </w:sectPr>
      </w:pPr>
    </w:p>
    <w:bookmarkStart w:id="8" w:name="page9"/>
    <w:bookmarkEnd w:id="8"/>
    <w:p>
      <w:pPr>
        <w:ind w:left="42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shall have the meaning ascribed to such term in Section 3.1(hh).</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shall have the meaning ascribed to such term in Section 3.1(hh).</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shall have the meaning ascribed to such term in Section 3.1(ll).</w:t>
      </w:r>
    </w:p>
    <w:p>
      <w:pPr>
        <w:spacing w:after="0" w:line="117" w:lineRule="exact"/>
        <w:rPr>
          <w:sz w:val="20"/>
          <w:szCs w:val="20"/>
          <w:color w:val="auto"/>
        </w:rPr>
      </w:pPr>
    </w:p>
    <w:p>
      <w:pPr>
        <w:ind w:left="4" w:right="40" w:firstLine="423"/>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Fundamental Representations</w:t>
      </w:r>
      <w:r>
        <w:rPr>
          <w:rFonts w:ascii="Times New Roman" w:cs="Times New Roman" w:eastAsia="Times New Roman" w:hAnsi="Times New Roman"/>
          <w:sz w:val="17"/>
          <w:szCs w:val="17"/>
          <w:color w:val="auto"/>
        </w:rPr>
        <w:t>” means the following representations and warranties made by the Company in Sections 3.1 (b) Organization and Qualification; (c) Authorization; Enforcement; (d) No Conflicts; (e) Filings, Consents and Approvals; (f) Issuance of the Securities;</w:t>
      </w:r>
    </w:p>
    <w:p>
      <w:pPr>
        <w:spacing w:after="0" w:line="1" w:lineRule="exact"/>
        <w:rPr>
          <w:sz w:val="20"/>
          <w:szCs w:val="20"/>
          <w:color w:val="auto"/>
        </w:rPr>
      </w:pPr>
    </w:p>
    <w:p>
      <w:pPr>
        <w:ind w:left="4" w:hanging="4"/>
        <w:spacing w:after="0" w:line="255" w:lineRule="auto"/>
        <w:tabs>
          <w:tab w:leader="none" w:pos="25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 (h) SEC Reports; Financial Statements; (s) Sarbanes-Oxley; Internal Accounting Controls; (t) Certain Fees; (v) Investment Company; (x) Listing and Maintenance Requirements; (z) No Integrated Offering; (bb) No General Solicitation; (ee) Acknowledgment Regarding Purchasers’ Purchase of Securities; (gg) Regulation M Compliance; (nn) No Disqualification Events; (oo) Other Covered Persons.</w:t>
      </w:r>
    </w:p>
    <w:p>
      <w:pPr>
        <w:spacing w:after="0" w:line="78"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shall have the meaning ascribed to such term in Section 3.1(m).</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Covered Person</w:t>
      </w:r>
      <w:r>
        <w:rPr>
          <w:rFonts w:ascii="Times New Roman" w:cs="Times New Roman" w:eastAsia="Times New Roman" w:hAnsi="Times New Roman"/>
          <w:sz w:val="18"/>
          <w:szCs w:val="18"/>
          <w:color w:val="auto"/>
        </w:rPr>
        <w:t>” shall have the meaning ascribed to such term in Section 3.1(nn).</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shall have the meaning ascribed to such term in Section 3.1(jj).</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shall have the meaning ascribed to such term in Section 4.1(c).</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117" w:lineRule="exact"/>
        <w:rPr>
          <w:sz w:val="20"/>
          <w:szCs w:val="20"/>
          <w:color w:val="auto"/>
        </w:rPr>
      </w:pPr>
    </w:p>
    <w:p>
      <w:pPr>
        <w:ind w:left="4" w:right="1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xml:space="preserve">” means the Lock-Up Agreement, dated as of the date hereof, by and among the Company and the directors, officers, and 10% stockholders of the Company,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attached hereto.</w:t>
      </w:r>
    </w:p>
    <w:p>
      <w:pPr>
        <w:spacing w:after="0" w:line="94"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24"/>
          </w:cols>
          <w:pgMar w:left="876" w:top="270" w:right="499" w:bottom="1440" w:gutter="0" w:footer="0" w:header="0"/>
        </w:sectPr>
      </w:pPr>
    </w:p>
    <w:bookmarkStart w:id="9" w:name="page10"/>
    <w:bookmarkEnd w:id="9"/>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shall have the meaning ascribed to such term in Section 3.1(mm).</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shall have the meaning ascribed to such term in Section 3.1(kk).</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 Limit</w:t>
      </w:r>
      <w:r>
        <w:rPr>
          <w:rFonts w:ascii="Times New Roman" w:cs="Times New Roman" w:eastAsia="Times New Roman" w:hAnsi="Times New Roman"/>
          <w:sz w:val="18"/>
          <w:szCs w:val="18"/>
          <w:color w:val="auto"/>
        </w:rPr>
        <w:t>” shall have the meaning ascribed to such term in Section 2.1.</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Non-cooperative Jurisdiction</w:t>
      </w:r>
      <w:r>
        <w:rPr>
          <w:rFonts w:ascii="Times New Roman" w:cs="Times New Roman" w:eastAsia="Times New Roman" w:hAnsi="Times New Roman"/>
          <w:sz w:val="18"/>
          <w:szCs w:val="18"/>
          <w:color w:val="auto"/>
        </w:rPr>
        <w:t>” shall have the meaning ascribed to such term in Section 3.2(h).</w:t>
      </w:r>
    </w:p>
    <w:p>
      <w:pPr>
        <w:spacing w:after="0" w:line="117" w:lineRule="exact"/>
        <w:rPr>
          <w:sz w:val="20"/>
          <w:szCs w:val="20"/>
          <w:color w:val="auto"/>
        </w:rPr>
      </w:pPr>
    </w:p>
    <w:p>
      <w:pPr>
        <w:ind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$0.48, subject to adjustment for reverse and forward stock splits, stock dividends, stock combinations and other similar transactions of the Common Stock that occur after the date of this Agreement and prior to the Closing Date, provided that the purchase price per Pre-Funded Warrant shall be the Per Share Purchase Price minus $0.0001.</w:t>
      </w:r>
    </w:p>
    <w:p>
      <w:pPr>
        <w:spacing w:after="0" w:line="68" w:lineRule="exact"/>
        <w:rPr>
          <w:sz w:val="20"/>
          <w:szCs w:val="20"/>
          <w:color w:val="auto"/>
        </w:rPr>
      </w:pPr>
    </w:p>
    <w:p>
      <w:pPr>
        <w:ind w:right="2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shall have the meaning ascribed to such term in Section 3.1(hh).</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H.C. Wainwright &amp; Co., LLC and Maxim Group, LLC.</w:t>
      </w:r>
    </w:p>
    <w:p>
      <w:pPr>
        <w:spacing w:after="0" w:line="117" w:lineRule="exact"/>
        <w:rPr>
          <w:sz w:val="20"/>
          <w:szCs w:val="20"/>
          <w:color w:val="auto"/>
        </w:rPr>
      </w:pPr>
    </w:p>
    <w:p>
      <w:pPr>
        <w:ind w:right="22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Warrants</w:t>
      </w:r>
      <w:r>
        <w:rPr>
          <w:rFonts w:ascii="Times New Roman" w:cs="Times New Roman" w:eastAsia="Times New Roman" w:hAnsi="Times New Roman"/>
          <w:sz w:val="18"/>
          <w:szCs w:val="18"/>
          <w:color w:val="auto"/>
        </w:rPr>
        <w:t xml:space="preserve">” means the pre-funded purchase warrants to purchase Common Stock delivered to the Purchasers at the Closing in accordance with Section 2.2(a) hereof, which Pre-Funded Warrants shall be exercisable immediately upon issuance and shall expire when exercised in full,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 Shares</w:t>
      </w:r>
      <w:r>
        <w:rPr>
          <w:rFonts w:ascii="Times New Roman" w:cs="Times New Roman" w:eastAsia="Times New Roman" w:hAnsi="Times New Roman"/>
          <w:sz w:val="18"/>
          <w:szCs w:val="18"/>
          <w:color w:val="auto"/>
        </w:rPr>
        <w:t>” means the shares of Common Stock issuable upon exercise of the Pre-Funded Warrants.</w:t>
      </w:r>
    </w:p>
    <w:p>
      <w:pPr>
        <w:spacing w:after="0" w:line="117" w:lineRule="exact"/>
        <w:rPr>
          <w:sz w:val="20"/>
          <w:szCs w:val="20"/>
          <w:color w:val="auto"/>
        </w:rPr>
      </w:pPr>
    </w:p>
    <w:p>
      <w:pPr>
        <w:ind w:right="2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Information Failure</w:t>
      </w:r>
      <w:r>
        <w:rPr>
          <w:rFonts w:ascii="Times New Roman" w:cs="Times New Roman" w:eastAsia="Times New Roman" w:hAnsi="Times New Roman"/>
          <w:sz w:val="18"/>
          <w:szCs w:val="18"/>
          <w:color w:val="auto"/>
        </w:rPr>
        <w:t>” shall have the meaning ascribed to such term in Section 4.2(b).</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Information Failure Payments</w:t>
      </w:r>
      <w:r>
        <w:rPr>
          <w:rFonts w:ascii="Times New Roman" w:cs="Times New Roman" w:eastAsia="Times New Roman" w:hAnsi="Times New Roman"/>
          <w:sz w:val="18"/>
          <w:szCs w:val="18"/>
          <w:color w:val="auto"/>
        </w:rPr>
        <w:t>” shall have the meaning ascribed to such term in Section 4.2(b).</w:t>
      </w:r>
    </w:p>
    <w:p>
      <w:pPr>
        <w:spacing w:after="0" w:line="1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40"/>
          </w:cols>
          <w:pgMar w:left="880" w:top="270" w:right="479" w:bottom="1440" w:gutter="0" w:footer="0" w:header="0"/>
        </w:sectPr>
      </w:pPr>
    </w:p>
    <w:bookmarkStart w:id="10" w:name="page11"/>
    <w:bookmarkEnd w:id="10"/>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4.7.</w:t>
      </w:r>
    </w:p>
    <w:p>
      <w:pPr>
        <w:spacing w:after="0" w:line="117" w:lineRule="exact"/>
        <w:rPr>
          <w:sz w:val="20"/>
          <w:szCs w:val="20"/>
          <w:color w:val="auto"/>
        </w:rPr>
      </w:pPr>
    </w:p>
    <w:p>
      <w:pPr>
        <w:ind w:right="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means the Registration Rights Agreement, dated on or about the date hereof, among the Company and the Purchasers,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54" w:lineRule="exact"/>
        <w:rPr>
          <w:sz w:val="20"/>
          <w:szCs w:val="20"/>
          <w:color w:val="auto"/>
        </w:rPr>
      </w:pPr>
    </w:p>
    <w:p>
      <w:pPr>
        <w:ind w:right="5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 registration statement meeting the requirements set forth in the Registration Rights Agreement and covering the resale by the Purchasers of the Shares and the Warrant Shares.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117" w:lineRule="exact"/>
        <w:rPr>
          <w:sz w:val="20"/>
          <w:szCs w:val="20"/>
          <w:color w:val="auto"/>
        </w:rPr>
      </w:pPr>
    </w:p>
    <w:p>
      <w:pPr>
        <w:ind w:right="4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68" w:lineRule="exact"/>
        <w:rPr>
          <w:sz w:val="20"/>
          <w:szCs w:val="20"/>
          <w:color w:val="auto"/>
        </w:rPr>
      </w:pPr>
    </w:p>
    <w:p>
      <w:pPr>
        <w:ind w:right="4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shall have the meaning ascribed to such term in Section 3.2(g).</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shall have the meaning ascribed to such term in Section 3.2(g).</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 and the Warrants.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117" w:lineRule="exact"/>
        <w:rPr>
          <w:sz w:val="20"/>
          <w:szCs w:val="20"/>
          <w:color w:val="auto"/>
        </w:rPr>
      </w:pPr>
    </w:p>
    <w:p>
      <w:pPr>
        <w:ind w:right="2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each Purchaser pursuant to this Agreement, but excluding the Warrant Shares.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Shell Bank</w:t>
      </w:r>
      <w:r>
        <w:rPr>
          <w:rFonts w:ascii="Times New Roman" w:cs="Times New Roman" w:eastAsia="Times New Roman" w:hAnsi="Times New Roman"/>
          <w:sz w:val="18"/>
          <w:szCs w:val="18"/>
          <w:color w:val="auto"/>
        </w:rPr>
        <w:t>” shall have the meaning ascribed to such term in Section 3.2(g).</w:t>
      </w:r>
    </w:p>
    <w:p>
      <w:pPr>
        <w:spacing w:after="0" w:line="117" w:lineRule="exact"/>
        <w:rPr>
          <w:sz w:val="20"/>
          <w:szCs w:val="20"/>
          <w:color w:val="auto"/>
        </w:rPr>
      </w:pPr>
    </w:p>
    <w:p>
      <w:pPr>
        <w:ind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shall have the meaning ascribed to such term in Section 4.1(c).</w:t>
      </w:r>
    </w:p>
    <w:p>
      <w:pPr>
        <w:spacing w:after="0" w:line="15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40"/>
          </w:cols>
          <w:pgMar w:left="880" w:top="270" w:right="479" w:bottom="1440" w:gutter="0" w:footer="0" w:header="0"/>
        </w:sectPr>
      </w:pPr>
    </w:p>
    <w:bookmarkStart w:id="11" w:name="page12"/>
    <w:bookmarkEnd w:id="11"/>
    <w:p>
      <w:pPr>
        <w:ind w:right="88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means such approval as required by the applicable rules and regulations of the Trading Market from the stockholders of the Company with respect to the issuance of all of the Warrant Shares upon the exercise of the Warrants.</w:t>
      </w:r>
    </w:p>
    <w:p>
      <w:pPr>
        <w:spacing w:after="0" w:line="54" w:lineRule="exact"/>
        <w:rPr>
          <w:sz w:val="20"/>
          <w:szCs w:val="20"/>
          <w:color w:val="auto"/>
        </w:rPr>
      </w:pPr>
    </w:p>
    <w:p>
      <w:pPr>
        <w:ind w:right="1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Approval Date</w:t>
      </w:r>
      <w:r>
        <w:rPr>
          <w:rFonts w:ascii="Times New Roman" w:cs="Times New Roman" w:eastAsia="Times New Roman" w:hAnsi="Times New Roman"/>
          <w:sz w:val="18"/>
          <w:szCs w:val="18"/>
          <w:color w:val="auto"/>
        </w:rPr>
        <w:t>” means the date on which Stockholder Approval is deemed effective under the Delaware General Corporation Law (DGCL) and federal securities laws.</w:t>
      </w:r>
    </w:p>
    <w:p>
      <w:pPr>
        <w:spacing w:after="0" w:line="54" w:lineRule="exact"/>
        <w:rPr>
          <w:sz w:val="20"/>
          <w:szCs w:val="20"/>
          <w:color w:val="auto"/>
        </w:rPr>
      </w:pPr>
    </w:p>
    <w:p>
      <w:pPr>
        <w:ind w:right="10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xml:space="preserve">” means, as to each Purchaser, the aggregate amount to be paid for Shares and Pre-Funded Warrants purchased hereunder as specified below such Purchaser’s name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of this Agreement and next to the heading “Subscription Amount,” in United States dollars and in immediately available funds (minus, if applicable, a Purchaser’s aggregate exercise price of the Pre-Funded Warrants, which amounts shall be paid as and when such Pre-Funded Warrants are exercised).</w:t>
      </w:r>
    </w:p>
    <w:p>
      <w:pPr>
        <w:spacing w:after="0" w:line="72" w:lineRule="exact"/>
        <w:rPr>
          <w:sz w:val="20"/>
          <w:szCs w:val="20"/>
          <w:color w:val="auto"/>
        </w:rPr>
      </w:pPr>
    </w:p>
    <w:p>
      <w:pPr>
        <w:ind w:right="12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as set forth Exhibit 21.1 to the Company’s Annual Report on Form 10-K for the year ended December 31, 2024 and shall, where applicable, also include any direct or indirect subsidiary of the Company formed or acquired after the date hereof.</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117" w:lineRule="exact"/>
        <w:rPr>
          <w:sz w:val="20"/>
          <w:szCs w:val="20"/>
          <w:color w:val="auto"/>
        </w:rPr>
      </w:pPr>
    </w:p>
    <w:p>
      <w:pPr>
        <w:jc w:val="both"/>
        <w:ind w:right="12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the Pink Open Market, OTCQB or the OTCQX (or any successors to any of the foregoing).</w:t>
      </w:r>
    </w:p>
    <w:p>
      <w:pPr>
        <w:spacing w:after="0" w:line="68" w:lineRule="exact"/>
        <w:rPr>
          <w:sz w:val="20"/>
          <w:szCs w:val="20"/>
          <w:color w:val="auto"/>
        </w:rPr>
      </w:pPr>
    </w:p>
    <w:p>
      <w:pPr>
        <w:jc w:val="both"/>
        <w:ind w:right="28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Warrants, the Registration Rights Agreement, the Lock-Up Agreement, the Escrow Agreement, all exhibits and schedules thereto and hereto and any other documents or agreements executed in connection with the transactions contemplated hereunder.</w:t>
      </w:r>
    </w:p>
    <w:p>
      <w:pPr>
        <w:spacing w:after="0" w:line="68" w:lineRule="exact"/>
        <w:rPr>
          <w:sz w:val="20"/>
          <w:szCs w:val="20"/>
          <w:color w:val="auto"/>
        </w:rPr>
      </w:pPr>
    </w:p>
    <w:p>
      <w:pPr>
        <w:ind w:right="5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Equiniti Trust Company, LLC, the current transfer agent of the Company, with offices at 6201 15th Avenue, Brooklyn NY 11219, and any successor transfer agent of the Company.</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shall have the meaning ascribed to such term in Section 4.10(b).</w:t>
      </w:r>
    </w:p>
    <w:p>
      <w:pPr>
        <w:spacing w:after="0" w:line="117" w:lineRule="exact"/>
        <w:rPr>
          <w:sz w:val="20"/>
          <w:szCs w:val="20"/>
          <w:color w:val="auto"/>
        </w:rPr>
      </w:pPr>
    </w:p>
    <w:p>
      <w:pPr>
        <w:ind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Venture Market (“OTCQB”) or OTCQX Best Market (“OTCQX”) is not a Trading Market, the</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70" w:right="459" w:bottom="1440" w:gutter="0" w:footer="0" w:header="0"/>
        </w:sectPr>
      </w:pPr>
    </w:p>
    <w:bookmarkStart w:id="12" w:name="page13"/>
    <w:bookmarkEnd w:id="12"/>
    <w:p>
      <w:pPr>
        <w:ind w:left="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(“Pink Market”) operated by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7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collectively, the Common Warrants and the Pre-Funded Warrants.</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shares of Common Stock issuable upon exercise of the Warrants.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207" w:lineRule="exact"/>
        <w:rPr>
          <w:sz w:val="20"/>
          <w:szCs w:val="20"/>
          <w:color w:val="auto"/>
        </w:rPr>
      </w:pPr>
    </w:p>
    <w:p>
      <w:pPr>
        <w:ind w:right="60" w:firstLine="440"/>
        <w:spacing w:after="0" w:line="25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On the Closing Date, upon the terms and subject to the conditions set forth herein, substantially concurrent with the execution and delivery of this Agreement by the parties hereto, the Company agrees to sell, and each Purchaser, severally and not jointly, agree to purchase, the Securities subscribed for by each Purchaser,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to the extent that a Purchaser determines, in its sole discretion, that such Purchaser (together with such Purchaser’s Affiliates, and any Person acting as a group together with such Purchaser or any of such Purchaser’s Affiliates) would beneficially own in excess of the Beneficial Ownership Limitation, or as such Purchaser may otherwise choose, in lieu of purchasing Shares, such Purchaser may elect by so indicating such election prior to their issuance, to purchase Pre-Funded Warrants in lieu of Shares in such manner to result in the same aggregate purchase price being paid by such Purchaser to the Company;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the aggregate amount of Shares issued under this Agreement shall not exceed 19.9% of the outstanding shares of the common stock or the voting power of the Company on the Closing Date (the “</w:t>
      </w:r>
      <w:r>
        <w:rPr>
          <w:rFonts w:ascii="Times New Roman" w:cs="Times New Roman" w:eastAsia="Times New Roman" w:hAnsi="Times New Roman"/>
          <w:sz w:val="18"/>
          <w:szCs w:val="18"/>
          <w:u w:val="single" w:color="auto"/>
          <w:color w:val="auto"/>
        </w:rPr>
        <w:t>Nasdaq Limit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 (or, with respect to each Purchaser, at the election of such Purchaser at Closing, 9.99%) of the number of shares of Common Stock outstanding immediately after giving effect to the issuance of the Shares on the Closing Date. Each Purchaser shall deliver to the Escrow Agent or the Company, as applicable, via wire transfer, immediately available funds equal to such Purchaser’s Subscription Amount as set forth on Annex A hereto executed by such Purchaser, and the Company shall deliver to each Purchaser its respective Shares and Warrants, as applicable, as determined pursuant to Section 2.2(a), and the Company and each Purchaser shall deliver the other items set forth in Section 2.2 deliverable at the Closing. Upon satisfaction of the covenants and conditions set forth in Sections 2.2 and 2.3, the Closing shall take place remotely by electronic transfer of the Closing documentation.</w:t>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70"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20" w:firstLine="419"/>
        <w:spacing w:after="0" w:line="282" w:lineRule="auto"/>
        <w:tabs>
          <w:tab w:leader="none" w:pos="6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(except as specified below), the Company shall deliver or cause to be delivered to each Purchaser the following:</w:t>
      </w:r>
    </w:p>
    <w:p>
      <w:pPr>
        <w:spacing w:after="0" w:line="53"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117" w:lineRule="exact"/>
        <w:rPr>
          <w:rFonts w:ascii="Times New Roman" w:cs="Times New Roman" w:eastAsia="Times New Roman" w:hAnsi="Times New Roman"/>
          <w:sz w:val="18"/>
          <w:szCs w:val="18"/>
          <w:color w:val="auto"/>
        </w:rPr>
      </w:pPr>
    </w:p>
    <w:p>
      <w:pPr>
        <w:ind w:left="1220" w:hanging="272"/>
        <w:spacing w:after="0"/>
        <w:tabs>
          <w:tab w:leader="none" w:pos="12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Company Counsel, directed to the Purchasers, in form and substance reasonably acceptable to the Purchasers,</w:t>
      </w:r>
    </w:p>
    <w:p>
      <w:pPr>
        <w:spacing w:after="0" w:line="225" w:lineRule="exact"/>
        <w:rPr>
          <w:rFonts w:ascii="Times New Roman" w:cs="Times New Roman" w:eastAsia="Times New Roman" w:hAnsi="Times New Roman"/>
          <w:sz w:val="18"/>
          <w:szCs w:val="18"/>
          <w:color w:val="auto"/>
        </w:rPr>
      </w:pPr>
    </w:p>
    <w:p>
      <w:pPr>
        <w:ind w:left="540" w:right="300" w:firstLine="408"/>
        <w:spacing w:after="0" w:line="282" w:lineRule="auto"/>
        <w:tabs>
          <w:tab w:leader="none" w:pos="125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opinion of Company Counsel, directed to the Placement Agents, in form and substance reasonably acceptable to the Placement Agents, with respect to the sale of the Securities’ exemption from registration under the Securities Act;</w:t>
      </w:r>
    </w:p>
    <w:p>
      <w:pPr>
        <w:spacing w:after="0" w:line="53" w:lineRule="exact"/>
        <w:rPr>
          <w:rFonts w:ascii="Times New Roman" w:cs="Times New Roman" w:eastAsia="Times New Roman" w:hAnsi="Times New Roman"/>
          <w:sz w:val="18"/>
          <w:szCs w:val="18"/>
          <w:color w:val="auto"/>
        </w:rPr>
      </w:pPr>
    </w:p>
    <w:p>
      <w:pPr>
        <w:ind w:left="540" w:firstLine="408"/>
        <w:spacing w:after="0" w:line="261" w:lineRule="auto"/>
        <w:tabs>
          <w:tab w:leader="none" w:pos="124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irrevocable instructions to the Transfer Agent instructing the Transfer Agent to establish via the direct registration system a book-entry notation for that number of Shares equal to such Purchaser’s Subscription Amount applicable to the Shares divided by the Per Share Purchase Price, registered in the name of such Purchaser (minus the number of shares of Common Stock issuable upon exercise of such Purchaser’s Pre-Funded Warrants, if applicable);</w:t>
      </w:r>
    </w:p>
    <w:p>
      <w:pPr>
        <w:spacing w:after="0" w:line="71" w:lineRule="exact"/>
        <w:rPr>
          <w:rFonts w:ascii="Times New Roman" w:cs="Times New Roman" w:eastAsia="Times New Roman" w:hAnsi="Times New Roman"/>
          <w:sz w:val="18"/>
          <w:szCs w:val="18"/>
          <w:color w:val="auto"/>
        </w:rPr>
      </w:pPr>
    </w:p>
    <w:p>
      <w:pPr>
        <w:jc w:val="both"/>
        <w:ind w:left="540" w:right="220" w:firstLine="408"/>
        <w:spacing w:after="0" w:line="261" w:lineRule="auto"/>
        <w:tabs>
          <w:tab w:leader="none" w:pos="119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Purchaser of Pre-Funded Warrants pursuant to Section 2.1, a Pre-Funded Warrant registered in the name of such Purchaser to purchase up to a number of Pre-Funded Warrant Shares equal to the portion of such Purchaser’s Subscription Amount applicable to Pre-Funded Warrant divided by the Per Share Purchase Price minus $0.0001 per share of Common Stock, with an exercise price equal to $0.0001, subject to adjustment therein;</w:t>
      </w:r>
    </w:p>
    <w:p>
      <w:pPr>
        <w:spacing w:after="0" w:line="71" w:lineRule="exact"/>
        <w:rPr>
          <w:rFonts w:ascii="Times New Roman" w:cs="Times New Roman" w:eastAsia="Times New Roman" w:hAnsi="Times New Roman"/>
          <w:sz w:val="18"/>
          <w:szCs w:val="18"/>
          <w:color w:val="auto"/>
        </w:rPr>
      </w:pPr>
    </w:p>
    <w:p>
      <w:pPr>
        <w:ind w:left="540" w:right="140" w:firstLine="408"/>
        <w:spacing w:after="0" w:line="266" w:lineRule="auto"/>
        <w:tabs>
          <w:tab w:leader="none" w:pos="124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Common Warrant registered in the name of such Purchaser to purchase up to a number of shares of Common Stock equal to 100% of the sum of such Purchaser’s Shares and Pre-Funded Warrant Shares initially issuable upon exercise of the Pre-Funded Warrants, if applicable, with an exercise price equal to $0.48, subject to adjustment therein;</w:t>
      </w:r>
    </w:p>
    <w:p>
      <w:pPr>
        <w:spacing w:after="0" w:line="67" w:lineRule="exact"/>
        <w:rPr>
          <w:rFonts w:ascii="Times New Roman" w:cs="Times New Roman" w:eastAsia="Times New Roman" w:hAnsi="Times New Roman"/>
          <w:sz w:val="18"/>
          <w:szCs w:val="18"/>
          <w:color w:val="auto"/>
        </w:rPr>
      </w:pPr>
    </w:p>
    <w:p>
      <w:pPr>
        <w:ind w:left="1300" w:hanging="352"/>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Agreements; and</w:t>
      </w:r>
    </w:p>
    <w:p>
      <w:pPr>
        <w:spacing w:after="0" w:line="117" w:lineRule="exact"/>
        <w:rPr>
          <w:rFonts w:ascii="Times New Roman" w:cs="Times New Roman" w:eastAsia="Times New Roman" w:hAnsi="Times New Roman"/>
          <w:sz w:val="18"/>
          <w:szCs w:val="18"/>
          <w:color w:val="auto"/>
        </w:rPr>
      </w:pPr>
    </w:p>
    <w:p>
      <w:pPr>
        <w:ind w:left="1360" w:hanging="412"/>
        <w:spacing w:after="0"/>
        <w:tabs>
          <w:tab w:leader="none" w:pos="13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hereof, the Registration Rights Agreement duly executed by the Company.</w:t>
      </w:r>
    </w:p>
    <w:p>
      <w:pPr>
        <w:spacing w:after="0" w:line="117" w:lineRule="exact"/>
        <w:rPr>
          <w:rFonts w:ascii="Times New Roman" w:cs="Times New Roman" w:eastAsia="Times New Roman" w:hAnsi="Times New Roman"/>
          <w:sz w:val="18"/>
          <w:szCs w:val="18"/>
          <w:color w:val="auto"/>
        </w:rPr>
      </w:pPr>
    </w:p>
    <w:p>
      <w:pPr>
        <w:ind w:right="120" w:firstLine="419"/>
        <w:spacing w:after="0" w:line="282" w:lineRule="auto"/>
        <w:tabs>
          <w:tab w:leader="none" w:pos="6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(except as specified below), each Purchaser shall deliver or cause to be delivered to the Company or the Escrow Agent, as applicable, the following:</w:t>
      </w:r>
    </w:p>
    <w:p>
      <w:pPr>
        <w:spacing w:after="0" w:line="53"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w:t>
      </w:r>
    </w:p>
    <w:p>
      <w:pPr>
        <w:spacing w:after="0" w:line="117" w:lineRule="exact"/>
        <w:rPr>
          <w:rFonts w:ascii="Times New Roman" w:cs="Times New Roman" w:eastAsia="Times New Roman" w:hAnsi="Times New Roman"/>
          <w:sz w:val="18"/>
          <w:szCs w:val="18"/>
          <w:color w:val="auto"/>
        </w:rPr>
      </w:pPr>
    </w:p>
    <w:p>
      <w:pPr>
        <w:ind w:left="540" w:right="100" w:firstLine="408"/>
        <w:spacing w:after="0" w:line="282" w:lineRule="auto"/>
        <w:tabs>
          <w:tab w:leader="none" w:pos="120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Escrow Agent or the Company, such Purchaser’s Subscription Amount by wire transfer to the account specified in writing by the Escrow Agreement or the Company; and</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70" w:right="459" w:bottom="1440" w:gutter="0" w:footer="0" w:header="0"/>
        </w:sectPr>
      </w:pPr>
    </w:p>
    <w:bookmarkStart w:id="14" w:name="page15"/>
    <w:bookmarkEnd w:id="14"/>
    <w:p>
      <w:pPr>
        <w:ind w:left="9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(iii) on the date hereof, the Registration Rights Agreement duly executed by such Purchaser.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hanging="24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117" w:lineRule="exact"/>
        <w:rPr>
          <w:rFonts w:ascii="Times New Roman" w:cs="Times New Roman" w:eastAsia="Times New Roman" w:hAnsi="Times New Roman"/>
          <w:sz w:val="18"/>
          <w:szCs w:val="18"/>
          <w:color w:val="auto"/>
        </w:rPr>
      </w:pPr>
    </w:p>
    <w:p>
      <w:pPr>
        <w:ind w:left="540" w:right="160" w:firstLine="408"/>
        <w:spacing w:after="0" w:line="261" w:lineRule="auto"/>
        <w:tabs>
          <w:tab w:leader="none" w:pos="115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on the Closing Date of the representations and warranties of the Purchasers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w:t>
      </w:r>
    </w:p>
    <w:p>
      <w:pPr>
        <w:spacing w:after="0" w:line="71" w:lineRule="exact"/>
        <w:rPr>
          <w:rFonts w:ascii="Times New Roman" w:cs="Times New Roman" w:eastAsia="Times New Roman" w:hAnsi="Times New Roman"/>
          <w:sz w:val="18"/>
          <w:szCs w:val="18"/>
          <w:color w:val="auto"/>
        </w:rPr>
      </w:pPr>
    </w:p>
    <w:p>
      <w:pPr>
        <w:ind w:left="540" w:right="200" w:firstLine="408"/>
        <w:spacing w:after="0" w:line="282" w:lineRule="auto"/>
        <w:tabs>
          <w:tab w:leader="none" w:pos="120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53"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each Purchaser hereunder in connection with the Closing are subject to the following conditions being met:</w:t>
      </w:r>
    </w:p>
    <w:p>
      <w:pPr>
        <w:spacing w:after="0" w:line="117"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w:t>
      </w:r>
    </w:p>
    <w:p>
      <w:pPr>
        <w:spacing w:after="0" w:line="27" w:lineRule="exact"/>
        <w:rPr>
          <w:rFonts w:ascii="Times New Roman" w:cs="Times New Roman" w:eastAsia="Times New Roman" w:hAnsi="Times New Roman"/>
          <w:sz w:val="18"/>
          <w:szCs w:val="18"/>
          <w:color w:val="auto"/>
        </w:rPr>
      </w:pPr>
    </w:p>
    <w:p>
      <w:pPr>
        <w:jc w:val="both"/>
        <w:ind w:left="5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 in all respects) when made and on the Closing Date of the representations and warranties of the Company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w:t>
      </w:r>
    </w:p>
    <w:p>
      <w:pPr>
        <w:spacing w:after="0" w:line="77" w:lineRule="exact"/>
        <w:rPr>
          <w:rFonts w:ascii="Times New Roman" w:cs="Times New Roman" w:eastAsia="Times New Roman" w:hAnsi="Times New Roman"/>
          <w:sz w:val="18"/>
          <w:szCs w:val="18"/>
          <w:color w:val="auto"/>
        </w:rPr>
      </w:pPr>
    </w:p>
    <w:p>
      <w:pPr>
        <w:ind w:left="540" w:right="320" w:firstLine="408"/>
        <w:spacing w:after="0" w:line="282" w:lineRule="auto"/>
        <w:tabs>
          <w:tab w:leader="none" w:pos="120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53"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117"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w:t>
      </w:r>
    </w:p>
    <w:p>
      <w:pPr>
        <w:spacing w:after="0" w:line="117" w:lineRule="exact"/>
        <w:rPr>
          <w:rFonts w:ascii="Times New Roman" w:cs="Times New Roman" w:eastAsia="Times New Roman" w:hAnsi="Times New Roman"/>
          <w:sz w:val="18"/>
          <w:szCs w:val="18"/>
          <w:color w:val="auto"/>
        </w:rPr>
      </w:pPr>
    </w:p>
    <w:p>
      <w:pPr>
        <w:jc w:val="both"/>
        <w:ind w:left="540" w:right="100" w:firstLine="408"/>
        <w:spacing w:after="0" w:line="266" w:lineRule="auto"/>
        <w:tabs>
          <w:tab w:leader="none" w:pos="11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70" w:right="459" w:bottom="1440" w:gutter="0" w:footer="0" w:header="0"/>
        </w:sectPr>
      </w:pPr>
    </w:p>
    <w:bookmarkStart w:id="15" w:name="page16"/>
    <w:bookmarkEnd w:id="15"/>
    <w:p>
      <w:pPr>
        <w:jc w:val="both"/>
        <w:ind w:left="980"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7"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SEC Reports (other than as to the Fundamental Representations, which are not so qualified), the Company hereby makes the following representations and warranties to each Purchaser:</w:t>
      </w:r>
    </w:p>
    <w:p>
      <w:pPr>
        <w:spacing w:after="0" w:line="54" w:lineRule="exact"/>
        <w:rPr>
          <w:sz w:val="20"/>
          <w:szCs w:val="20"/>
          <w:color w:val="auto"/>
        </w:rPr>
      </w:pPr>
    </w:p>
    <w:p>
      <w:pPr>
        <w:ind w:left="440" w:right="40" w:firstLine="419"/>
        <w:spacing w:after="0" w:line="266" w:lineRule="auto"/>
        <w:tabs>
          <w:tab w:leader="none" w:pos="110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w:t>
      </w:r>
    </w:p>
    <w:p>
      <w:pPr>
        <w:spacing w:after="0" w:line="67" w:lineRule="exact"/>
        <w:rPr>
          <w:rFonts w:ascii="Times New Roman" w:cs="Times New Roman" w:eastAsia="Times New Roman" w:hAnsi="Times New Roman"/>
          <w:sz w:val="18"/>
          <w:szCs w:val="18"/>
          <w:color w:val="auto"/>
        </w:rPr>
      </w:pPr>
    </w:p>
    <w:p>
      <w:pPr>
        <w:ind w:left="440" w:firstLine="419"/>
        <w:spacing w:after="0" w:line="253" w:lineRule="auto"/>
        <w:tabs>
          <w:tab w:leader="none" w:pos="11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81" w:lineRule="exact"/>
        <w:rPr>
          <w:rFonts w:ascii="Times New Roman" w:cs="Times New Roman" w:eastAsia="Times New Roman" w:hAnsi="Times New Roman"/>
          <w:sz w:val="18"/>
          <w:szCs w:val="18"/>
          <w:color w:val="auto"/>
        </w:rPr>
      </w:pPr>
    </w:p>
    <w:p>
      <w:pPr>
        <w:ind w:left="440" w:right="220" w:firstLine="419"/>
        <w:spacing w:after="0" w:line="261" w:lineRule="auto"/>
        <w:tabs>
          <w:tab w:leader="none" w:pos="110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70" w:right="499" w:bottom="1440" w:gutter="0" w:footer="0" w:header="0"/>
        </w:sectPr>
      </w:pPr>
    </w:p>
    <w:bookmarkStart w:id="16" w:name="page17"/>
    <w:bookmarkEnd w:id="16"/>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Stockholder Approval and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w:t>
      </w:r>
    </w:p>
    <w:p>
      <w:pPr>
        <w:spacing w:after="0" w:line="3" w:lineRule="exact"/>
        <w:rPr>
          <w:sz w:val="20"/>
          <w:szCs w:val="20"/>
          <w:color w:val="auto"/>
        </w:rPr>
      </w:pPr>
    </w:p>
    <w:p>
      <w:pPr>
        <w:jc w:val="both"/>
        <w:ind w:left="4" w:right="380" w:hanging="4"/>
        <w:spacing w:after="0" w:line="277" w:lineRule="auto"/>
        <w:tabs>
          <w:tab w:leader="none" w:pos="218"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60" w:lineRule="exact"/>
        <w:rPr>
          <w:rFonts w:ascii="Times New Roman" w:cs="Times New Roman" w:eastAsia="Times New Roman" w:hAnsi="Times New Roman"/>
          <w:sz w:val="17"/>
          <w:szCs w:val="17"/>
          <w:color w:val="auto"/>
        </w:rPr>
      </w:pPr>
    </w:p>
    <w:p>
      <w:pPr>
        <w:ind w:left="4" w:right="60" w:firstLine="419"/>
        <w:spacing w:after="0" w:line="269" w:lineRule="auto"/>
        <w:tabs>
          <w:tab w:leader="none" w:pos="681"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Conflicts</w:t>
      </w:r>
      <w:r>
        <w:rPr>
          <w:rFonts w:ascii="Times New Roman" w:cs="Times New Roman" w:eastAsia="Times New Roman" w:hAnsi="Times New Roman"/>
          <w:sz w:val="17"/>
          <w:szCs w:val="17"/>
          <w:color w:val="auto"/>
        </w:rPr>
        <w:t>. Subject to Stockholder Approval,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certificate of incorporation or, bylaws, or (ii) conflict with, or constitute a default (or an event that with notice or lapse of time or both would become a default) under, result in the creation of any Lien upon any of the properties or assets of the Company, or give to others any rights of termination, amendment, anti-dilution or similar adjustments, acceleration or cancellation (with or without notice, lapse of time or both) of, any agreement, credit facility, debt or other instrument (evidencing a Company debt or otherwise) or other understanding to which the Company is a party or by which any property or asset of the Company is bound or affected, or (iii) subject to the Required Approvals, conflict with or result in a violation of any law, rule, regulation, order, judgment, injunction, decree or other restriction of any court or governmental authority to which the Company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73" w:lineRule="exact"/>
        <w:rPr>
          <w:rFonts w:ascii="Times New Roman" w:cs="Times New Roman" w:eastAsia="Times New Roman" w:hAnsi="Times New Roman"/>
          <w:sz w:val="17"/>
          <w:szCs w:val="17"/>
          <w:color w:val="auto"/>
        </w:rPr>
      </w:pPr>
    </w:p>
    <w:p>
      <w:pPr>
        <w:ind w:left="4" w:right="160" w:firstLine="419"/>
        <w:spacing w:after="0" w:line="270" w:lineRule="auto"/>
        <w:tabs>
          <w:tab w:leader="none" w:pos="671"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Filings, Consents and Approvals</w:t>
      </w:r>
      <w:r>
        <w:rPr>
          <w:rFonts w:ascii="Times New Roman" w:cs="Times New Roman" w:eastAsia="Times New Roman" w:hAnsi="Times New Roman"/>
          <w:sz w:val="17"/>
          <w:szCs w:val="17"/>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a Registration Statement pursuant to the Registration Rights Agreement,</w:t>
      </w:r>
    </w:p>
    <w:p>
      <w:pPr>
        <w:spacing w:after="0" w:line="2" w:lineRule="exact"/>
        <w:rPr>
          <w:rFonts w:ascii="Times New Roman" w:cs="Times New Roman" w:eastAsia="Times New Roman" w:hAnsi="Times New Roman"/>
          <w:sz w:val="17"/>
          <w:szCs w:val="17"/>
          <w:color w:val="auto"/>
        </w:rPr>
      </w:pPr>
    </w:p>
    <w:p>
      <w:pPr>
        <w:ind w:left="4" w:right="200" w:hanging="4"/>
        <w:spacing w:after="0" w:line="255" w:lineRule="auto"/>
        <w:tabs>
          <w:tab w:leader="none" w:pos="3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and/or application(s) to each applicable Trading Market for the listing of the Shares and Warrant Shares for trading thereon in the time and manner required thereby, (iv) the Stockholder Approval and (v) the filing of Form D with the Commission and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4"/>
          </w:cols>
          <w:pgMar w:left="876" w:top="270" w:right="459" w:bottom="1440" w:gutter="0" w:footer="0" w:header="0"/>
        </w:sectPr>
      </w:pPr>
    </w:p>
    <w:bookmarkStart w:id="17" w:name="page18"/>
    <w:bookmarkEnd w:id="17"/>
    <w:p>
      <w:pPr>
        <w:ind w:right="20" w:firstLine="419"/>
        <w:spacing w:after="0" w:line="256" w:lineRule="auto"/>
        <w:tabs>
          <w:tab w:leader="none" w:pos="64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Issuance of the Securities</w:t>
      </w:r>
      <w:r>
        <w:rPr>
          <w:rFonts w:ascii="Times New Roman" w:cs="Times New Roman" w:eastAsia="Times New Roman" w:hAnsi="Times New Roman"/>
          <w:sz w:val="18"/>
          <w:szCs w:val="18"/>
          <w:color w:val="auto"/>
        </w:rPr>
        <w:t>. The Shares are duly authorized and, when issued and paid for in accordance with this Agreement, will be duly and validly issued, fully paid and nonassessable, free and clear of all Liens imposed by the Company other than restrictions on transfer provided for in the Transaction Documents. The Warrant Shares, when issued following the Stockholder Approval, in accordance with the terms of the Warrants, will be validly issued, fully paid and nonassessable, free and clear of all Liens imposed by the Company other than restrictions on transfer provided for in the Transaction Documents. The Company has reserved from its duly authorized capital stock the maximum number of shares of Common Stock issuable pursuant to this Agreement and the Warrants.</w:t>
      </w:r>
    </w:p>
    <w:p>
      <w:pPr>
        <w:spacing w:after="0" w:line="79" w:lineRule="exact"/>
        <w:rPr>
          <w:rFonts w:ascii="Times New Roman" w:cs="Times New Roman" w:eastAsia="Times New Roman" w:hAnsi="Times New Roman"/>
          <w:sz w:val="18"/>
          <w:szCs w:val="18"/>
          <w:color w:val="auto"/>
        </w:rPr>
      </w:pPr>
    </w:p>
    <w:p>
      <w:pPr>
        <w:ind w:firstLine="419"/>
        <w:spacing w:after="0" w:line="251" w:lineRule="auto"/>
        <w:tabs>
          <w:tab w:leader="none" w:pos="6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As of the date hereof, the Company has 800,000,000 shares of Class A Common Stock authorized, 40,000,000 shares of Class B common stock authorized, 20,000,000 shares of Class C common stock authorized and 20,000,000 shares of preferred stock authorized. The Company has not issued any capital stock since its most recently filed periodic report under the Exchange Act, other than pursuant to the exercise of stock options or vesting and settlement of restricted stock units under the Company’s equity incentive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As of the date hereof,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There are no outstanding securities or instruments of the Company with any provision that adjusts the exercise, conversion, exchange or reset price of such security or instrument upon an issuance of securities by the Company. There are no outstanding securities or instruments of the Company that contain any redemption or similar provisions, and there are no contracts, commitments, understandings or arrangements by which the Company is or may become bound to redeem a security of the Company or any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There are no stockholders’ agreements, side letters, voting agreements or other similar agreements with respect to the Company’s capital stock to which the Company is a party or, to the knowledge of the Company, between or among any of the Company’s stockholders.</w:t>
      </w:r>
    </w:p>
    <w:p>
      <w:pPr>
        <w:spacing w:after="0" w:line="13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20"/>
          </w:cols>
          <w:pgMar w:left="880" w:top="270" w:right="499" w:bottom="1440" w:gutter="0" w:footer="0" w:header="0"/>
        </w:sectPr>
      </w:pPr>
    </w:p>
    <w:bookmarkStart w:id="18" w:name="page19"/>
    <w:bookmarkEnd w:id="18"/>
    <w:p>
      <w:pPr>
        <w:ind w:firstLine="419"/>
        <w:spacing w:after="0" w:line="252" w:lineRule="auto"/>
        <w:tabs>
          <w:tab w:leader="none" w:pos="6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86" w:lineRule="exact"/>
        <w:rPr>
          <w:rFonts w:ascii="Times New Roman" w:cs="Times New Roman" w:eastAsia="Times New Roman" w:hAnsi="Times New Roman"/>
          <w:sz w:val="18"/>
          <w:szCs w:val="18"/>
          <w:color w:val="auto"/>
        </w:rPr>
      </w:pPr>
    </w:p>
    <w:p>
      <w:pPr>
        <w:ind w:right="20" w:firstLine="419"/>
        <w:spacing w:after="0" w:line="253" w:lineRule="auto"/>
        <w:tabs>
          <w:tab w:leader="none" w:pos="63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Since June 30, 2025,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or director, except pursuant to existing Company equity compensation plans.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40"/>
          </w:cols>
          <w:pgMar w:left="880" w:top="270" w:right="479" w:bottom="1440" w:gutter="0" w:footer="0" w:header="0"/>
        </w:sectPr>
      </w:pPr>
    </w:p>
    <w:bookmarkStart w:id="19" w:name="page20"/>
    <w:bookmarkEnd w:id="19"/>
    <w:p>
      <w:pPr>
        <w:ind w:right="40" w:firstLine="419"/>
        <w:spacing w:after="0" w:line="258" w:lineRule="auto"/>
        <w:tabs>
          <w:tab w:leader="none" w:pos="63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Litigation</w:t>
      </w:r>
      <w:r>
        <w:rPr>
          <w:rFonts w:ascii="Times New Roman" w:cs="Times New Roman" w:eastAsia="Times New Roman" w:hAnsi="Times New Roman"/>
          <w:sz w:val="18"/>
          <w:szCs w:val="18"/>
          <w:color w:val="auto"/>
        </w:rPr>
        <w:t>. There is no action, suit, inquiry, notice of violation, proceeding or investigation pending or, to the knowledge of the Company, threatened against or affecting the Company, the Subsidiaries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which, if there were an unfavorable decision, would individually or in the aggregate, reasonably be expected to result in a Material Adverse Effect. None of the Actions adversely affects or challenges the legality, validity or enforceability of any of the Transaction Documents.</w:t>
      </w:r>
    </w:p>
    <w:p>
      <w:pPr>
        <w:spacing w:after="0" w:line="75" w:lineRule="exact"/>
        <w:rPr>
          <w:rFonts w:ascii="Times New Roman" w:cs="Times New Roman" w:eastAsia="Times New Roman" w:hAnsi="Times New Roman"/>
          <w:sz w:val="18"/>
          <w:szCs w:val="18"/>
          <w:color w:val="auto"/>
        </w:rPr>
      </w:pPr>
    </w:p>
    <w:p>
      <w:pPr>
        <w:ind w:right="60" w:firstLine="419"/>
        <w:spacing w:after="0" w:line="255" w:lineRule="auto"/>
        <w:tabs>
          <w:tab w:leader="none" w:pos="6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would reasonably be expected to result in a Material Adverse Effect. None of the Company’s or any Subsidiary’s employees is a member of a union that relates to such employee’s relationship with the Company or any Subsidiary, and neither the Company nor any Subsidiary is a party to a collective bargaining agreement, and the Company believes that its relationships with the employees of the Company and its Subsidiaries are good. The Company and the Subsidiaries are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spacing w:after="0" w:line="80" w:lineRule="exact"/>
        <w:rPr>
          <w:rFonts w:ascii="Times New Roman" w:cs="Times New Roman" w:eastAsia="Times New Roman" w:hAnsi="Times New Roman"/>
          <w:sz w:val="18"/>
          <w:szCs w:val="18"/>
          <w:color w:val="auto"/>
        </w:rPr>
      </w:pPr>
    </w:p>
    <w:p>
      <w:pPr>
        <w:ind w:firstLine="419"/>
        <w:spacing w:after="0" w:line="254" w:lineRule="auto"/>
        <w:tabs>
          <w:tab w:leader="none" w:pos="63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of (i), (ii), and (iii) as would not have or reasonably be expected to result in a Material Adverse Effect.</w:t>
      </w:r>
    </w:p>
    <w:p>
      <w:pPr>
        <w:spacing w:after="0" w:line="83" w:lineRule="exact"/>
        <w:rPr>
          <w:rFonts w:ascii="Times New Roman" w:cs="Times New Roman" w:eastAsia="Times New Roman" w:hAnsi="Times New Roman"/>
          <w:sz w:val="18"/>
          <w:szCs w:val="18"/>
          <w:color w:val="auto"/>
        </w:rPr>
      </w:pPr>
    </w:p>
    <w:p>
      <w:pPr>
        <w:ind w:firstLine="419"/>
        <w:spacing w:after="0" w:line="256" w:lineRule="auto"/>
        <w:tabs>
          <w:tab w:leader="none" w:pos="7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70" w:right="459" w:bottom="1440" w:gutter="0" w:footer="0" w:header="0"/>
        </w:sectPr>
      </w:pPr>
    </w:p>
    <w:bookmarkStart w:id="20" w:name="page21"/>
    <w:bookmarkEnd w:id="20"/>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would be reasonably expected to have, individually or in the aggregate, a Material Adverse Effect.</w:t>
      </w:r>
    </w:p>
    <w:p>
      <w:pPr>
        <w:spacing w:after="0" w:line="72" w:lineRule="exact"/>
        <w:rPr>
          <w:sz w:val="20"/>
          <w:szCs w:val="20"/>
          <w:color w:val="auto"/>
        </w:rPr>
      </w:pPr>
    </w:p>
    <w:p>
      <w:pPr>
        <w:ind w:right="100" w:firstLine="419"/>
        <w:spacing w:after="0" w:line="256" w:lineRule="auto"/>
        <w:tabs>
          <w:tab w:leader="none" w:pos="6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would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 which, singly or in the aggregate, if the subject of an unfavorable decision, ruling or finding, would reasonably be expected to result in a Material Adverse Effect.</w:t>
      </w:r>
    </w:p>
    <w:p>
      <w:pPr>
        <w:spacing w:after="0" w:line="79"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its Subsidiaries do not own any real estate. The Company and its Subsidiaries have good and</w:t>
      </w:r>
    </w:p>
    <w:p>
      <w:pPr>
        <w:spacing w:after="0" w:line="27" w:lineRule="exact"/>
        <w:rPr>
          <w:rFonts w:ascii="Times New Roman" w:cs="Times New Roman" w:eastAsia="Times New Roman" w:hAnsi="Times New Roman"/>
          <w:sz w:val="18"/>
          <w:szCs w:val="18"/>
          <w:color w:val="auto"/>
        </w:rPr>
      </w:pPr>
    </w:p>
    <w:p>
      <w:pPr>
        <w:ind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81" w:lineRule="exact"/>
        <w:rPr>
          <w:rFonts w:ascii="Times New Roman" w:cs="Times New Roman" w:eastAsia="Times New Roman" w:hAnsi="Times New Roman"/>
          <w:sz w:val="18"/>
          <w:szCs w:val="18"/>
          <w:color w:val="auto"/>
        </w:rPr>
      </w:pPr>
    </w:p>
    <w:p>
      <w:pPr>
        <w:ind w:firstLine="419"/>
        <w:spacing w:after="0" w:line="253" w:lineRule="auto"/>
        <w:tabs>
          <w:tab w:leader="none" w:pos="6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0"/>
          </w:cols>
          <w:pgMar w:left="880" w:top="270" w:right="459" w:bottom="1440" w:gutter="0" w:footer="0" w:header="0"/>
        </w:sectPr>
      </w:pPr>
    </w:p>
    <w:bookmarkStart w:id="21" w:name="page22"/>
    <w:bookmarkEnd w:id="21"/>
    <w:p>
      <w:pPr>
        <w:ind w:left="4" w:right="60" w:firstLine="419"/>
        <w:spacing w:after="0" w:line="258" w:lineRule="auto"/>
        <w:tabs>
          <w:tab w:leader="none" w:pos="68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75" w:lineRule="exact"/>
        <w:rPr>
          <w:rFonts w:ascii="Times New Roman" w:cs="Times New Roman" w:eastAsia="Times New Roman" w:hAnsi="Times New Roman"/>
          <w:sz w:val="18"/>
          <w:szCs w:val="18"/>
          <w:color w:val="auto"/>
        </w:rPr>
      </w:pPr>
    </w:p>
    <w:p>
      <w:pPr>
        <w:ind w:left="4" w:firstLine="419"/>
        <w:spacing w:after="0" w:line="254" w:lineRule="auto"/>
        <w:tabs>
          <w:tab w:leader="none" w:pos="65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Except as disclosed in the SEC Reports, none of the officers, directors or beneficial holders of 5% or more of any class of capital stock of the Company and, to the knowledge of the Company, none of the employees of the Company is presently a party to any transaction with the Company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incentive plan of the Company.</w:t>
      </w:r>
    </w:p>
    <w:p>
      <w:pPr>
        <w:spacing w:after="0" w:line="80" w:lineRule="exact"/>
        <w:rPr>
          <w:rFonts w:ascii="Times New Roman" w:cs="Times New Roman" w:eastAsia="Times New Roman" w:hAnsi="Times New Roman"/>
          <w:sz w:val="18"/>
          <w:szCs w:val="18"/>
          <w:color w:val="auto"/>
        </w:rPr>
      </w:pPr>
    </w:p>
    <w:p>
      <w:pPr>
        <w:ind w:left="4" w:right="20" w:firstLine="419"/>
        <w:spacing w:after="0" w:line="253" w:lineRule="auto"/>
        <w:tabs>
          <w:tab w:leader="none" w:pos="66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is in compliance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w:t>
      </w:r>
    </w:p>
    <w:p>
      <w:pPr>
        <w:spacing w:after="0" w:line="5" w:lineRule="exact"/>
        <w:rPr>
          <w:rFonts w:ascii="Times New Roman" w:cs="Times New Roman" w:eastAsia="Times New Roman" w:hAnsi="Times New Roman"/>
          <w:sz w:val="18"/>
          <w:szCs w:val="18"/>
          <w:color w:val="auto"/>
        </w:rPr>
      </w:pPr>
    </w:p>
    <w:p>
      <w:pPr>
        <w:ind w:left="4" w:right="80" w:hanging="4"/>
        <w:spacing w:after="0" w:line="252" w:lineRule="auto"/>
        <w:tabs>
          <w:tab w:leader="none" w:pos="30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recorded accountability for assets is compared with the existing assets at reasonable intervals and appropriate action is taken with respect to any differences. The Company has established disclosure controls and procedures (as defined in Exchange Act Rules 13a-15(e) and 15d-15(e)) for the Company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as of the end of the period covered by the most recently</w:t>
      </w:r>
    </w:p>
    <w:p>
      <w:pPr>
        <w:spacing w:after="0" w:line="122"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44"/>
          </w:cols>
          <w:pgMar w:left="876" w:top="270" w:right="479" w:bottom="1440" w:gutter="0" w:footer="0" w:header="0"/>
        </w:sectPr>
      </w:pPr>
    </w:p>
    <w:bookmarkStart w:id="22" w:name="page23"/>
    <w:bookmarkEnd w:id="22"/>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that have materially affected, or is reasonably likely to materially affect, the internal control over financial reporting of the Company.</w:t>
      </w:r>
    </w:p>
    <w:p>
      <w:pPr>
        <w:spacing w:after="0" w:line="75" w:lineRule="exact"/>
        <w:rPr>
          <w:sz w:val="20"/>
          <w:szCs w:val="20"/>
          <w:color w:val="auto"/>
        </w:rPr>
      </w:pPr>
    </w:p>
    <w:p>
      <w:pPr>
        <w:ind w:right="60" w:firstLine="419"/>
        <w:spacing w:after="0" w:line="258" w:lineRule="auto"/>
        <w:tabs>
          <w:tab w:leader="none" w:pos="63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for fees payable by the Company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75" w:lineRule="exact"/>
        <w:rPr>
          <w:rFonts w:ascii="Times New Roman" w:cs="Times New Roman" w:eastAsia="Times New Roman" w:hAnsi="Times New Roman"/>
          <w:sz w:val="18"/>
          <w:szCs w:val="18"/>
          <w:color w:val="auto"/>
        </w:rPr>
      </w:pPr>
    </w:p>
    <w:p>
      <w:pPr>
        <w:ind w:right="180" w:firstLine="419"/>
        <w:spacing w:after="0" w:line="289" w:lineRule="auto"/>
        <w:tabs>
          <w:tab w:leader="none" w:pos="67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Private Placement</w:t>
      </w:r>
      <w:r>
        <w:rPr>
          <w:rFonts w:ascii="Times New Roman" w:cs="Times New Roman" w:eastAsia="Times New Roman" w:hAnsi="Times New Roman"/>
          <w:sz w:val="17"/>
          <w:szCs w:val="17"/>
          <w:color w:val="auto"/>
        </w:rPr>
        <w:t>. Assuming the accuracy of the Purchasers’ representations and warranties set forth in Section 3.2, no registration under the Securities Act is required for the offer and sale of the Securities by the Company to the Purchasers as contemplated hereby. Subject to the Stockholder Approval, the issuance and sale of the Securities hereunder does not contravene the rules and regulations of the Trading Market.</w:t>
      </w:r>
    </w:p>
    <w:p>
      <w:pPr>
        <w:spacing w:after="0" w:line="49" w:lineRule="exact"/>
        <w:rPr>
          <w:rFonts w:ascii="Times New Roman" w:cs="Times New Roman" w:eastAsia="Times New Roman" w:hAnsi="Times New Roman"/>
          <w:sz w:val="17"/>
          <w:szCs w:val="17"/>
          <w:color w:val="auto"/>
        </w:rPr>
      </w:pPr>
    </w:p>
    <w:p>
      <w:pPr>
        <w:ind w:firstLine="419"/>
        <w:spacing w:after="0" w:line="261" w:lineRule="auto"/>
        <w:tabs>
          <w:tab w:leader="none" w:pos="6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immediately after receipt of payment for the Securities, will not be an “investment company” within the meaning of the Investment Company Act of 1940, as amended. The Company shall use its reasonable best efforts to conduct its business in a manner so that it will not become an “investment company” subject to registration under the Investment Company Act of 1940, as amended.</w:t>
      </w:r>
    </w:p>
    <w:p>
      <w:pPr>
        <w:spacing w:after="0" w:line="71" w:lineRule="exact"/>
        <w:rPr>
          <w:rFonts w:ascii="Times New Roman" w:cs="Times New Roman" w:eastAsia="Times New Roman" w:hAnsi="Times New Roman"/>
          <w:sz w:val="18"/>
          <w:szCs w:val="18"/>
          <w:color w:val="auto"/>
        </w:rPr>
      </w:pPr>
    </w:p>
    <w:p>
      <w:pPr>
        <w:ind w:right="140" w:firstLine="419"/>
        <w:spacing w:after="0" w:line="282" w:lineRule="auto"/>
        <w:tabs>
          <w:tab w:leader="none" w:pos="7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Other than each of the Purchasers pursuant to the Registration Rights Agreement, no Person has any right to cause the Company or any Subsidiary to effect the registration under the Securities Act of any securities of the Company or any Subsidiary.</w:t>
      </w:r>
    </w:p>
    <w:p>
      <w:pPr>
        <w:spacing w:after="0" w:line="53" w:lineRule="exact"/>
        <w:rPr>
          <w:rFonts w:ascii="Times New Roman" w:cs="Times New Roman" w:eastAsia="Times New Roman" w:hAnsi="Times New Roman"/>
          <w:sz w:val="18"/>
          <w:szCs w:val="18"/>
          <w:color w:val="auto"/>
        </w:rPr>
      </w:pPr>
    </w:p>
    <w:p>
      <w:pPr>
        <w:ind w:firstLine="419"/>
        <w:spacing w:after="0" w:line="254" w:lineRule="auto"/>
        <w:tabs>
          <w:tab w:leader="none" w:pos="6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60"/>
          </w:cols>
          <w:pgMar w:left="880" w:top="270" w:right="459" w:bottom="1440" w:gutter="0" w:footer="0" w:header="0"/>
        </w:sectPr>
      </w:pPr>
    </w:p>
    <w:bookmarkStart w:id="23" w:name="page24"/>
    <w:bookmarkEnd w:id="23"/>
    <w:p>
      <w:pPr>
        <w:ind w:left="4" w:right="20" w:firstLine="419"/>
        <w:spacing w:after="0" w:line="254" w:lineRule="auto"/>
        <w:tabs>
          <w:tab w:leader="none" w:pos="68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and does not contain any untrue statement of a material fact or omit to state any material fact necessary in order to make the statements made therein, in the light of the circumstances under which they were made, not misleading. The Company acknowledges and agrees that no Purchaser makes or has made any representations or warranties with respect to the transactions contemplated hereby other than those specifically set forth in Section 3.2 hereof.</w:t>
      </w:r>
    </w:p>
    <w:p>
      <w:pPr>
        <w:spacing w:after="0" w:line="80" w:lineRule="exact"/>
        <w:rPr>
          <w:rFonts w:ascii="Times New Roman" w:cs="Times New Roman" w:eastAsia="Times New Roman" w:hAnsi="Times New Roman"/>
          <w:sz w:val="18"/>
          <w:szCs w:val="18"/>
          <w:color w:val="auto"/>
        </w:rPr>
      </w:pPr>
    </w:p>
    <w:p>
      <w:pPr>
        <w:ind w:left="4" w:firstLine="419"/>
        <w:spacing w:after="0" w:line="270" w:lineRule="auto"/>
        <w:tabs>
          <w:tab w:leader="none" w:pos="671"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Integrated Offering</w:t>
      </w:r>
      <w:r>
        <w:rPr>
          <w:rFonts w:ascii="Times New Roman" w:cs="Times New Roman" w:eastAsia="Times New Roman" w:hAnsi="Times New Roman"/>
          <w:sz w:val="17"/>
          <w:szCs w:val="17"/>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any such Securities under the Securities Act, or</w:t>
      </w:r>
    </w:p>
    <w:p>
      <w:pPr>
        <w:spacing w:after="0" w:line="2" w:lineRule="exact"/>
        <w:rPr>
          <w:rFonts w:ascii="Times New Roman" w:cs="Times New Roman" w:eastAsia="Times New Roman" w:hAnsi="Times New Roman"/>
          <w:sz w:val="17"/>
          <w:szCs w:val="17"/>
          <w:color w:val="auto"/>
        </w:rPr>
      </w:pPr>
    </w:p>
    <w:p>
      <w:pPr>
        <w:ind w:left="4" w:right="20" w:hanging="4"/>
        <w:spacing w:after="0" w:line="253" w:lineRule="auto"/>
        <w:tabs>
          <w:tab w:leader="none" w:pos="26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shareholder approval provisions of any Trading Market on which any of the securities of the Company are listed or designated</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Assuming the accuracy of the Purchasers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representations and warranties set forth in Section 3.2,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or Rule 506 of Regulation D promulgated thereunder for the exemption from registration for the transactions contemplated hereby.</w:t>
      </w:r>
    </w:p>
    <w:p>
      <w:pPr>
        <w:spacing w:after="0" w:line="78" w:lineRule="exact"/>
        <w:rPr>
          <w:rFonts w:ascii="Times New Roman" w:cs="Times New Roman" w:eastAsia="Times New Roman" w:hAnsi="Times New Roman"/>
          <w:sz w:val="18"/>
          <w:szCs w:val="18"/>
          <w:color w:val="auto"/>
        </w:rPr>
      </w:pPr>
    </w:p>
    <w:p>
      <w:pPr>
        <w:ind w:left="4" w:right="180" w:firstLine="419"/>
        <w:spacing w:after="0" w:line="270" w:lineRule="auto"/>
        <w:tabs>
          <w:tab w:leader="none" w:pos="751"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Status</w:t>
      </w:r>
      <w:r>
        <w:rPr>
          <w:rFonts w:ascii="Times New Roman" w:cs="Times New Roman" w:eastAsia="Times New Roman" w:hAnsi="Times New Roman"/>
          <w:sz w:val="17"/>
          <w:szCs w:val="17"/>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w:t>
      </w:r>
    </w:p>
    <w:p>
      <w:pPr>
        <w:spacing w:after="0" w:line="2" w:lineRule="exact"/>
        <w:rPr>
          <w:rFonts w:ascii="Times New Roman" w:cs="Times New Roman" w:eastAsia="Times New Roman" w:hAnsi="Times New Roman"/>
          <w:sz w:val="17"/>
          <w:szCs w:val="17"/>
          <w:color w:val="auto"/>
        </w:rPr>
      </w:pPr>
    </w:p>
    <w:p>
      <w:pPr>
        <w:ind w:left="4" w:right="160" w:hanging="4"/>
        <w:spacing w:after="0" w:line="260" w:lineRule="auto"/>
        <w:tabs>
          <w:tab w:leader="none" w:pos="31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set aside on its books provision reasonably adequate for the payment of all material taxes for periods subsequent to the periods to which such returns, reports or declarations apply.</w:t>
      </w:r>
    </w:p>
    <w:p>
      <w:pPr>
        <w:spacing w:after="0" w:line="114"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44"/>
          </w:cols>
          <w:pgMar w:left="876" w:top="270" w:right="479" w:bottom="1440" w:gutter="0" w:footer="0" w:header="0"/>
        </w:sectPr>
      </w:pPr>
    </w:p>
    <w:bookmarkStart w:id="24" w:name="page25"/>
    <w:bookmarkEnd w:id="24"/>
    <w:p>
      <w:pPr>
        <w:jc w:val="both"/>
        <w:ind w:firstLine="419"/>
        <w:spacing w:after="0" w:line="266" w:lineRule="auto"/>
        <w:tabs>
          <w:tab w:leader="none" w:pos="7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General Solicitation</w:t>
      </w:r>
      <w:r>
        <w:rPr>
          <w:rFonts w:ascii="Times New Roman" w:cs="Times New Roman" w:eastAsia="Times New Roman" w:hAnsi="Times New Roman"/>
          <w:sz w:val="18"/>
          <w:szCs w:val="18"/>
          <w:color w:val="auto"/>
        </w:rPr>
        <w:t>. Neither the Company nor any Person acting on behalf of the Company has offered or sold any of the Securities by any form of general solicitation or general advertising. The Company has offered the Securities for sale only to the Purchasers and certain other “accredited investors” within the meaning of Rule 501 under the Securities Act.</w:t>
      </w:r>
    </w:p>
    <w:p>
      <w:pPr>
        <w:spacing w:after="0" w:line="67" w:lineRule="exact"/>
        <w:rPr>
          <w:rFonts w:ascii="Times New Roman" w:cs="Times New Roman" w:eastAsia="Times New Roman" w:hAnsi="Times New Roman"/>
          <w:sz w:val="18"/>
          <w:szCs w:val="18"/>
          <w:color w:val="auto"/>
        </w:rPr>
      </w:pPr>
    </w:p>
    <w:p>
      <w:pPr>
        <w:ind w:firstLine="419"/>
        <w:spacing w:after="0" w:line="256" w:lineRule="auto"/>
        <w:tabs>
          <w:tab w:leader="none" w:pos="74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xml:space="preserve">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79" w:lineRule="exact"/>
        <w:rPr>
          <w:rFonts w:ascii="Times New Roman" w:cs="Times New Roman" w:eastAsia="Times New Roman" w:hAnsi="Times New Roman"/>
          <w:sz w:val="18"/>
          <w:szCs w:val="18"/>
          <w:color w:val="auto"/>
        </w:rPr>
      </w:pPr>
    </w:p>
    <w:p>
      <w:pPr>
        <w:ind w:right="220" w:firstLine="419"/>
        <w:spacing w:after="0" w:line="266" w:lineRule="auto"/>
        <w:tabs>
          <w:tab w:leader="none" w:pos="7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independent registered public accounting firm is Marcum LLP.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2025.</w:t>
      </w:r>
    </w:p>
    <w:p>
      <w:pPr>
        <w:spacing w:after="0" w:line="67" w:lineRule="exact"/>
        <w:rPr>
          <w:rFonts w:ascii="Times New Roman" w:cs="Times New Roman" w:eastAsia="Times New Roman" w:hAnsi="Times New Roman"/>
          <w:sz w:val="18"/>
          <w:szCs w:val="18"/>
          <w:color w:val="auto"/>
        </w:rPr>
      </w:pPr>
    </w:p>
    <w:p>
      <w:pPr>
        <w:ind w:right="80" w:firstLine="419"/>
        <w:spacing w:after="0" w:line="254" w:lineRule="auto"/>
        <w:tabs>
          <w:tab w:leader="none" w:pos="74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83" w:lineRule="exact"/>
        <w:rPr>
          <w:rFonts w:ascii="Times New Roman" w:cs="Times New Roman" w:eastAsia="Times New Roman" w:hAnsi="Times New Roman"/>
          <w:sz w:val="18"/>
          <w:szCs w:val="18"/>
          <w:color w:val="auto"/>
        </w:rPr>
      </w:pPr>
    </w:p>
    <w:p>
      <w:pPr>
        <w:ind w:right="140" w:firstLine="419"/>
        <w:spacing w:after="0" w:line="255" w:lineRule="auto"/>
        <w:tabs>
          <w:tab w:leader="none" w:pos="70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xml:space="preserve"> Anything in this Agreement or elsewhere herein to the contrary notwithstanding (except for Sections 3.2(j) and 4.13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60"/>
          </w:cols>
          <w:pgMar w:left="880" w:top="270" w:right="459" w:bottom="1440" w:gutter="0" w:footer="0" w:header="0"/>
        </w:sectPr>
      </w:pPr>
    </w:p>
    <w:bookmarkStart w:id="25" w:name="page26"/>
    <w:bookmarkEnd w:id="25"/>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81" w:lineRule="exact"/>
        <w:rPr>
          <w:sz w:val="20"/>
          <w:szCs w:val="20"/>
          <w:color w:val="auto"/>
        </w:rPr>
      </w:pPr>
    </w:p>
    <w:p>
      <w:pPr>
        <w:ind w:right="60" w:firstLine="419"/>
        <w:spacing w:after="0" w:line="258" w:lineRule="auto"/>
        <w:tabs>
          <w:tab w:leader="none" w:pos="7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xml:space="preserve">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spacing w:after="0" w:line="75" w:lineRule="exact"/>
        <w:rPr>
          <w:rFonts w:ascii="Times New Roman" w:cs="Times New Roman" w:eastAsia="Times New Roman" w:hAnsi="Times New Roman"/>
          <w:sz w:val="18"/>
          <w:szCs w:val="18"/>
          <w:color w:val="auto"/>
        </w:rPr>
      </w:pPr>
    </w:p>
    <w:p>
      <w:pPr>
        <w:ind w:firstLine="419"/>
        <w:spacing w:after="0" w:line="252" w:lineRule="auto"/>
        <w:tabs>
          <w:tab w:leader="none" w:pos="7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As to each drug product or product candidate subject to the jurisdiction of the U.S. Food and Drug Administration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under the Federal Food, Drug, and Cosmetic Act, as amended, and the regulations thereunder (“</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that is manufactured, packaged, labeled, tested, distributed, sold, and/or marketed by the Company or any of its Subsidiaries (each such product, a “</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reasonably be expected to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w:t>
      </w:r>
    </w:p>
    <w:p>
      <w:pPr>
        <w:spacing w:after="0" w:line="12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60"/>
          </w:cols>
          <w:pgMar w:left="880" w:top="270" w:right="459" w:bottom="1440" w:gutter="0" w:footer="0" w:header="0"/>
        </w:sectPr>
      </w:pPr>
    </w:p>
    <w:bookmarkStart w:id="26" w:name="page27"/>
    <w:bookmarkEnd w:id="2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Subsidiaries, (v) enters or proposes to enter into a consent decree of permanent injunction with the Company or any of its Subsidiaries, or</w:t>
      </w:r>
    </w:p>
    <w:p>
      <w:pPr>
        <w:spacing w:after="0" w:line="27" w:lineRule="exact"/>
        <w:rPr>
          <w:sz w:val="20"/>
          <w:szCs w:val="20"/>
          <w:color w:val="auto"/>
        </w:rPr>
      </w:pPr>
    </w:p>
    <w:p>
      <w:pPr>
        <w:ind w:left="4" w:right="100" w:hanging="4"/>
        <w:spacing w:after="0" w:line="252" w:lineRule="auto"/>
        <w:tabs>
          <w:tab w:leader="none" w:pos="30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alleges any violation of any laws, rules or regulations by the Company or any of its Subsidiaries, and which, either individually or in the aggregate, would reasonably be expected to have a Material Adverse Effect. The properties, business and operations of the Company have been and are being conducted in all respects in accordance with all applicable laws, rules and regulations of the FDA, except where the failure to so conduct, individually or in the aggregate, would not reasonably be expected to have a Material Adverse Effect. The Company has not been informed by the FDA that the FDA will prohibit the marketing, sale, license or use in the United States of any product proposed to be developed, produced or marketed by the Company.</w:t>
      </w:r>
    </w:p>
    <w:p>
      <w:pPr>
        <w:spacing w:after="0" w:line="81" w:lineRule="exact"/>
        <w:rPr>
          <w:rFonts w:ascii="Times New Roman" w:cs="Times New Roman" w:eastAsia="Times New Roman" w:hAnsi="Times New Roman"/>
          <w:sz w:val="18"/>
          <w:szCs w:val="18"/>
          <w:color w:val="auto"/>
        </w:rPr>
      </w:pPr>
    </w:p>
    <w:p>
      <w:pPr>
        <w:ind w:left="4" w:firstLine="419"/>
        <w:spacing w:after="0" w:line="282" w:lineRule="auto"/>
        <w:tabs>
          <w:tab w:leader="none" w:pos="69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S-3 Eligibility</w:t>
      </w:r>
      <w:r>
        <w:rPr>
          <w:rFonts w:ascii="Times New Roman" w:cs="Times New Roman" w:eastAsia="Times New Roman" w:hAnsi="Times New Roman"/>
          <w:sz w:val="18"/>
          <w:szCs w:val="18"/>
          <w:color w:val="auto"/>
        </w:rPr>
        <w:t>. The Company is eligible to register the resale of the Common Stock and Warrant Shares for resale by the Purchaser on Form S-3 promulgated under the Securities Act</w:t>
      </w:r>
      <w:r>
        <w:rPr>
          <w:rFonts w:ascii="Times New Roman" w:cs="Times New Roman" w:eastAsia="Times New Roman" w:hAnsi="Times New Roman"/>
          <w:sz w:val="18"/>
          <w:szCs w:val="18"/>
          <w:u w:val="single" w:color="auto"/>
          <w:color w:val="auto"/>
        </w:rPr>
        <w:t>.</w:t>
      </w:r>
    </w:p>
    <w:p>
      <w:pPr>
        <w:spacing w:after="0" w:line="53"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Except as would not, individually or in the aggregate, reasonably be expected to have a Material Adverse Effect (i) there</w:t>
      </w:r>
    </w:p>
    <w:p>
      <w:pPr>
        <w:spacing w:after="0" w:line="27" w:lineRule="exact"/>
        <w:rPr>
          <w:rFonts w:ascii="Times New Roman" w:cs="Times New Roman" w:eastAsia="Times New Roman" w:hAnsi="Times New Roman"/>
          <w:sz w:val="18"/>
          <w:szCs w:val="18"/>
          <w:color w:val="auto"/>
        </w:rPr>
      </w:pPr>
    </w:p>
    <w:p>
      <w:pPr>
        <w:ind w:left="4" w:right="40" w:hanging="4"/>
        <w:spacing w:after="0" w:line="251" w:lineRule="auto"/>
        <w:tabs>
          <w:tab w:leader="none" w:pos="25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pacing w:after="0" w:line="84" w:lineRule="exact"/>
        <w:rPr>
          <w:rFonts w:ascii="Times New Roman" w:cs="Times New Roman" w:eastAsia="Times New Roman" w:hAnsi="Times New Roman"/>
          <w:sz w:val="18"/>
          <w:szCs w:val="18"/>
          <w:color w:val="auto"/>
        </w:rPr>
      </w:pPr>
    </w:p>
    <w:p>
      <w:pPr>
        <w:ind w:left="4" w:right="80" w:firstLine="419"/>
        <w:spacing w:after="0" w:line="266" w:lineRule="auto"/>
        <w:tabs>
          <w:tab w:leader="none" w:pos="77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controlled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p>
    <w:p>
      <w:pPr>
        <w:spacing w:after="0" w:line="108"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44"/>
          </w:cols>
          <w:pgMar w:left="876" w:top="270" w:right="479" w:bottom="1440" w:gutter="0" w:footer="0" w:header="0"/>
        </w:sectPr>
      </w:pPr>
    </w:p>
    <w:bookmarkStart w:id="27" w:name="page28"/>
    <w:bookmarkEnd w:id="27"/>
    <w:p>
      <w:pPr>
        <w:ind w:right="140" w:firstLine="419"/>
        <w:spacing w:after="0" w:line="274" w:lineRule="auto"/>
        <w:tabs>
          <w:tab w:leader="none" w:pos="688"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Holding Company Act</w:t>
      </w:r>
      <w:r>
        <w:rPr>
          <w:rFonts w:ascii="Times New Roman" w:cs="Times New Roman" w:eastAsia="Times New Roman" w:hAnsi="Times New Roman"/>
          <w:sz w:val="17"/>
          <w:szCs w:val="17"/>
          <w:color w:val="auto"/>
        </w:rPr>
        <w:t>. Neither the Company nor any of its Subsidiaries or controlled Affiliates is subject to the Bank Holding Company Act of 1956, as amended (the “</w:t>
      </w:r>
      <w:r>
        <w:rPr>
          <w:rFonts w:ascii="Times New Roman" w:cs="Times New Roman" w:eastAsia="Times New Roman" w:hAnsi="Times New Roman"/>
          <w:sz w:val="17"/>
          <w:szCs w:val="17"/>
          <w:u w:val="single" w:color="auto"/>
          <w:color w:val="auto"/>
        </w:rPr>
        <w:t>BHCA</w:t>
      </w:r>
      <w:r>
        <w:rPr>
          <w:rFonts w:ascii="Times New Roman" w:cs="Times New Roman" w:eastAsia="Times New Roman" w:hAnsi="Times New Roman"/>
          <w:sz w:val="17"/>
          <w:szCs w:val="17"/>
          <w:color w:val="auto"/>
        </w:rPr>
        <w:t>”) and to regulation by the Board of Governors of the Federal Reserve System (the “</w:t>
      </w:r>
      <w:r>
        <w:rPr>
          <w:rFonts w:ascii="Times New Roman" w:cs="Times New Roman" w:eastAsia="Times New Roman" w:hAnsi="Times New Roman"/>
          <w:sz w:val="17"/>
          <w:szCs w:val="17"/>
          <w:u w:val="single" w:color="auto"/>
          <w:color w:val="auto"/>
        </w:rPr>
        <w:t>Federal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Reserve</w:t>
      </w:r>
      <w:r>
        <w:rPr>
          <w:rFonts w:ascii="Times New Roman" w:cs="Times New Roman" w:eastAsia="Times New Roman" w:hAnsi="Times New Roman"/>
          <w:sz w:val="17"/>
          <w:szCs w:val="17"/>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64" w:lineRule="exact"/>
        <w:rPr>
          <w:rFonts w:ascii="Times New Roman" w:cs="Times New Roman" w:eastAsia="Times New Roman" w:hAnsi="Times New Roman"/>
          <w:sz w:val="17"/>
          <w:szCs w:val="17"/>
          <w:color w:val="auto"/>
        </w:rPr>
      </w:pPr>
    </w:p>
    <w:p>
      <w:pPr>
        <w:ind w:firstLine="419"/>
        <w:spacing w:after="0" w:line="258" w:lineRule="auto"/>
        <w:tabs>
          <w:tab w:leader="none" w:pos="8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75" w:lineRule="exact"/>
        <w:rPr>
          <w:rFonts w:ascii="Times New Roman" w:cs="Times New Roman" w:eastAsia="Times New Roman" w:hAnsi="Times New Roman"/>
          <w:sz w:val="18"/>
          <w:szCs w:val="18"/>
          <w:color w:val="auto"/>
        </w:rPr>
      </w:pPr>
    </w:p>
    <w:p>
      <w:pPr>
        <w:ind w:right="60" w:firstLine="419"/>
        <w:spacing w:after="0" w:line="254" w:lineRule="auto"/>
        <w:tabs>
          <w:tab w:leader="none" w:pos="7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With respect to the Securities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cs="Times New Roman" w:eastAsia="Times New Roman" w:hAnsi="Times New Roman"/>
          <w:sz w:val="18"/>
          <w:szCs w:val="18"/>
          <w:u w:val="single" w:color="auto"/>
          <w:color w:val="auto"/>
        </w:rPr>
        <w:t>Issuer Covered Person</w:t>
      </w:r>
      <w:r>
        <w:rPr>
          <w:rFonts w:ascii="Times New Roman" w:cs="Times New Roman" w:eastAsia="Times New Roman" w:hAnsi="Times New Roman"/>
          <w:sz w:val="18"/>
          <w:szCs w:val="18"/>
          <w:color w:val="auto"/>
        </w:rPr>
        <w:t>” and, together, “</w:t>
      </w:r>
      <w:r>
        <w:rPr>
          <w:rFonts w:ascii="Times New Roman" w:cs="Times New Roman" w:eastAsia="Times New Roman" w:hAnsi="Times New Roman"/>
          <w:sz w:val="18"/>
          <w:szCs w:val="18"/>
          <w:u w:val="single" w:color="auto"/>
          <w:color w:val="auto"/>
        </w:rPr>
        <w:t>Issuer Covered Persons</w:t>
      </w:r>
      <w:r>
        <w:rPr>
          <w:rFonts w:ascii="Times New Roman" w:cs="Times New Roman" w:eastAsia="Times New Roman" w:hAnsi="Times New Roman"/>
          <w:sz w:val="18"/>
          <w:szCs w:val="18"/>
          <w:color w:val="auto"/>
        </w:rPr>
        <w:t>”) is subject to any of the “Bad Actor” disqualifications described in Rule 506(d)(1)(i) to (viii) under the Securities Act (a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spacing w:after="0" w:line="83" w:lineRule="exact"/>
        <w:rPr>
          <w:rFonts w:ascii="Times New Roman" w:cs="Times New Roman" w:eastAsia="Times New Roman" w:hAnsi="Times New Roman"/>
          <w:sz w:val="18"/>
          <w:szCs w:val="18"/>
          <w:color w:val="auto"/>
        </w:rPr>
      </w:pPr>
    </w:p>
    <w:p>
      <w:pPr>
        <w:ind w:right="400" w:firstLine="419"/>
        <w:spacing w:after="0" w:line="266" w:lineRule="auto"/>
        <w:tabs>
          <w:tab w:leader="none" w:pos="7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Other than the Placement Agents, the Company is not aware of any person (other than any Issuer Covered Person) that has been or will be paid (directly or indirectly) remuneration for solicitation of purchasers in connection with the sale of any Securities.</w:t>
      </w:r>
    </w:p>
    <w:p>
      <w:pPr>
        <w:spacing w:after="0" w:line="67" w:lineRule="exact"/>
        <w:rPr>
          <w:rFonts w:ascii="Times New Roman" w:cs="Times New Roman" w:eastAsia="Times New Roman" w:hAnsi="Times New Roman"/>
          <w:sz w:val="18"/>
          <w:szCs w:val="18"/>
          <w:color w:val="auto"/>
        </w:rPr>
      </w:pPr>
    </w:p>
    <w:p>
      <w:pPr>
        <w:ind w:right="60" w:firstLine="419"/>
        <w:spacing w:after="0" w:line="266" w:lineRule="auto"/>
        <w:tabs>
          <w:tab w:leader="none" w:pos="7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Disqualification Events</w:t>
      </w:r>
      <w:r>
        <w:rPr>
          <w:rFonts w:ascii="Times New Roman" w:cs="Times New Roman" w:eastAsia="Times New Roman" w:hAnsi="Times New Roman"/>
          <w:sz w:val="18"/>
          <w:szCs w:val="18"/>
          <w:color w:val="auto"/>
        </w:rPr>
        <w:t>. The Company will notify the Purchasers and the Placement Agents in writing, prior to the Closing Date of (i) any Disqualification Event relating to any Issuer Covered Person and (ii) any event that would, with the passage of time, reasonably be expected to become a Disqualification Event relating to any Issuer Covered Person, in each case of which it is aware.</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60"/>
          </w:cols>
          <w:pgMar w:left="880" w:top="270" w:right="459" w:bottom="1440" w:gutter="0" w:footer="0" w:header="0"/>
        </w:sectPr>
      </w:pPr>
    </w:p>
    <w:bookmarkStart w:id="28" w:name="page29"/>
    <w:bookmarkEnd w:id="28"/>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68" w:lineRule="exact"/>
        <w:rPr>
          <w:sz w:val="20"/>
          <w:szCs w:val="20"/>
          <w:color w:val="auto"/>
        </w:rPr>
      </w:pPr>
    </w:p>
    <w:p>
      <w:pPr>
        <w:ind w:left="440" w:firstLine="419"/>
        <w:spacing w:after="0" w:line="253" w:lineRule="auto"/>
        <w:tabs>
          <w:tab w:leader="none" w:pos="110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83" w:lineRule="exact"/>
        <w:rPr>
          <w:rFonts w:ascii="Times New Roman" w:cs="Times New Roman" w:eastAsia="Times New Roman" w:hAnsi="Times New Roman"/>
          <w:sz w:val="18"/>
          <w:szCs w:val="18"/>
          <w:color w:val="auto"/>
        </w:rPr>
      </w:pPr>
    </w:p>
    <w:p>
      <w:pPr>
        <w:ind w:left="440" w:firstLine="419"/>
        <w:spacing w:after="0" w:line="254" w:lineRule="auto"/>
        <w:tabs>
          <w:tab w:leader="none" w:pos="11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 Account</w:t>
      </w:r>
      <w:r>
        <w:rPr>
          <w:rFonts w:ascii="Times New Roman" w:cs="Times New Roman" w:eastAsia="Times New Roman" w:hAnsi="Times New Roman"/>
          <w:sz w:val="18"/>
          <w:szCs w:val="18"/>
          <w:color w:val="auto"/>
        </w:rPr>
        <w:t>. Such Purchaser understands that the Securities are “restricted securities” and have not been registered under the Securities Act or any applicable state securities law and is acquiring the Securities as principal for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pacing w:after="0" w:line="83" w:lineRule="exact"/>
        <w:rPr>
          <w:rFonts w:ascii="Times New Roman" w:cs="Times New Roman" w:eastAsia="Times New Roman" w:hAnsi="Times New Roman"/>
          <w:sz w:val="18"/>
          <w:szCs w:val="18"/>
          <w:color w:val="auto"/>
        </w:rPr>
      </w:pPr>
    </w:p>
    <w:p>
      <w:pPr>
        <w:jc w:val="both"/>
        <w:ind w:left="440" w:right="80" w:firstLine="419"/>
        <w:spacing w:after="0" w:line="266" w:lineRule="auto"/>
        <w:tabs>
          <w:tab w:leader="none" w:pos="110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and on each date on which it exercises any Warrants, it will be either: (i) an “accredited investor” as defined in Rule 501(a)(1), (a)(2), (a)(3), (a)(7), (a)(8), (a)(9), (a)(12), or (a)(13) under the Securities Act or (ii) a “qualified institutional buyer” as defined in Rule 144A(a) under the Securities Act.</w:t>
      </w:r>
    </w:p>
    <w:p>
      <w:pPr>
        <w:spacing w:after="0" w:line="67" w:lineRule="exact"/>
        <w:rPr>
          <w:rFonts w:ascii="Times New Roman" w:cs="Times New Roman" w:eastAsia="Times New Roman" w:hAnsi="Times New Roman"/>
          <w:sz w:val="18"/>
          <w:szCs w:val="18"/>
          <w:color w:val="auto"/>
        </w:rPr>
      </w:pPr>
    </w:p>
    <w:p>
      <w:pPr>
        <w:jc w:val="both"/>
        <w:ind w:left="440" w:right="120" w:firstLine="419"/>
        <w:spacing w:after="0" w:line="261" w:lineRule="auto"/>
        <w:tabs>
          <w:tab w:leader="none" w:pos="11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29" w:name="page30"/>
    <w:bookmarkEnd w:id="29"/>
    <w:p>
      <w:pPr>
        <w:ind w:right="220" w:firstLine="419"/>
        <w:spacing w:after="0" w:line="289" w:lineRule="auto"/>
        <w:tabs>
          <w:tab w:leader="none" w:pos="667"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 Solicitation</w:t>
      </w:r>
      <w:r>
        <w:rPr>
          <w:rFonts w:ascii="Times New Roman" w:cs="Times New Roman" w:eastAsia="Times New Roman" w:hAnsi="Times New Roman"/>
          <w:sz w:val="17"/>
          <w:szCs w:val="17"/>
          <w:color w:val="auto"/>
        </w:rPr>
        <w:t>. Such Purchaser is not, to such Purchaser’s knowledge,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spacing w:after="0" w:line="49" w:lineRule="exact"/>
        <w:rPr>
          <w:rFonts w:ascii="Times New Roman" w:cs="Times New Roman" w:eastAsia="Times New Roman" w:hAnsi="Times New Roman"/>
          <w:sz w:val="17"/>
          <w:szCs w:val="17"/>
          <w:color w:val="auto"/>
        </w:rPr>
      </w:pPr>
    </w:p>
    <w:p>
      <w:pPr>
        <w:ind w:firstLine="419"/>
        <w:spacing w:after="0" w:line="253" w:lineRule="auto"/>
        <w:tabs>
          <w:tab w:leader="none" w:pos="64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Agents nor any Affiliate of the Placement Agents has provided such Purchaser with any information or advice with respect to the Securities nor is such information or advice necessary or desired. Neither the Placement Agents nor any Affiliate has made or makes any representation as to the Company or the quality of the Securities and any Affiliate may have acquired non-public information with respect to the Company which such Purchaser agrees need not be provided to it. In connection with the issuance of the Securities to such Purchaser, neither the Placement Agent nor any of their Affiliates has acted as a financial advisor or fiduciary to such Purchaser.</w:t>
      </w:r>
    </w:p>
    <w:p>
      <w:pPr>
        <w:spacing w:after="0" w:line="81" w:lineRule="exact"/>
        <w:rPr>
          <w:rFonts w:ascii="Times New Roman" w:cs="Times New Roman" w:eastAsia="Times New Roman" w:hAnsi="Times New Roman"/>
          <w:sz w:val="18"/>
          <w:szCs w:val="18"/>
          <w:color w:val="auto"/>
        </w:rPr>
      </w:pPr>
    </w:p>
    <w:p>
      <w:pPr>
        <w:ind w:firstLine="419"/>
        <w:spacing w:after="0" w:line="253" w:lineRule="auto"/>
        <w:tabs>
          <w:tab w:leader="none" w:pos="67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Sanctioned Persons; BSA/PATRIOT Act</w:t>
      </w:r>
      <w:r>
        <w:rPr>
          <w:rFonts w:ascii="Times New Roman" w:cs="Times New Roman" w:eastAsia="Times New Roman" w:hAnsi="Times New Roman"/>
          <w:sz w:val="18"/>
          <w:szCs w:val="18"/>
          <w:color w:val="auto"/>
        </w:rPr>
        <w:t>. Such Purchaser is not owned or controlled by or acting on behalf of (in connection with this Agreement), a Sanctioned Person. Such Purchaser is not an institution that accepts currency for deposit and that (a) has no physical presence in the jurisdiction in which it is incorporated or in which it is operating and (b) is unaffiliated with a regulated financial group that is subject to consolidated supervision (a “</w:t>
      </w:r>
      <w:r>
        <w:rPr>
          <w:rFonts w:ascii="Times New Roman" w:cs="Times New Roman" w:eastAsia="Times New Roman" w:hAnsi="Times New Roman"/>
          <w:sz w:val="18"/>
          <w:szCs w:val="18"/>
          <w:u w:val="single" w:color="auto"/>
          <w:color w:val="auto"/>
        </w:rPr>
        <w:t>Shell Bank</w:t>
      </w:r>
      <w:r>
        <w:rPr>
          <w:rFonts w:ascii="Times New Roman" w:cs="Times New Roman" w:eastAsia="Times New Roman" w:hAnsi="Times New Roman"/>
          <w:sz w:val="18"/>
          <w:szCs w:val="18"/>
          <w:color w:val="auto"/>
        </w:rPr>
        <w:t>”) or providing banking services to a Shell Bank. Such Purchaser represents that if it is a financial institution subject to the Bank Secrecy Act (31 U.S.C. Section 5311 et seq.), as amended by the USA PATRIOT Act of 2001 and its implementing regulations (collectively, the “</w:t>
      </w:r>
      <w:r>
        <w:rPr>
          <w:rFonts w:ascii="Times New Roman" w:cs="Times New Roman" w:eastAsia="Times New Roman" w:hAnsi="Times New Roman"/>
          <w:sz w:val="18"/>
          <w:szCs w:val="18"/>
          <w:u w:val="single" w:color="auto"/>
          <w:color w:val="auto"/>
        </w:rPr>
        <w:t>BSA/PATRIOT Act</w:t>
      </w:r>
      <w:r>
        <w:rPr>
          <w:rFonts w:ascii="Times New Roman" w:cs="Times New Roman" w:eastAsia="Times New Roman" w:hAnsi="Times New Roman"/>
          <w:sz w:val="18"/>
          <w:szCs w:val="18"/>
          <w:color w:val="auto"/>
        </w:rPr>
        <w:t>”), that such Purchaser maintains policies and procedures reasonably designed to comply with applicable obligations under the BSA/PATRIOT Act. Such Purchaser also represents that, to the extent required by applicable law, it maintains, either directly or through the use of a third-party administrator, policies and procedures reasonably designed for the screening of any investors in such Purchaser against Sanctions-related lists of blocked or restricted persons. Such Purchaser further represents and warrants that (a) the funds held by such Purchaser and used to purchase the Securities were not directly or indirectly derived from or related to any activities that may contravene U.S. federal, state or non-U.S. anti-money laundering, anti-corruption or Sanctions laws and regulations or activities that may otherwise be deemed criminal and (b) any returns from such Purchaser’s investment will not be used to finance any illegal activities. For purposes of this Agreement, “</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at any time any person or entity with whom</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60"/>
          </w:cols>
          <w:pgMar w:left="880" w:top="270" w:right="459" w:bottom="1440" w:gutter="0" w:footer="0" w:header="0"/>
        </w:sectPr>
      </w:pPr>
    </w:p>
    <w:bookmarkStart w:id="30" w:name="page31"/>
    <w:bookmarkEnd w:id="30"/>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dealings are restricted, prohibited, or sanctionable under any Sanctions (as defined below), including as a result of being: (a) listed on any Sanctions-related list of designated or blocked or restricted persons; (b) that is a national of, the government of, or any agency or instrumentality of the government of, or resident in, or organized under the laws of, a country or territory that is the target of comprehensive Sanctions from time to time (as of the date of this Agreement, Cuba, Iran, North Korea, Syria, and the Crimea region); or (c) a relationship of ownership, control, or agency with any of the foregoing.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those trade, economic and financial sanctions laws, regulations, embargoes, and restrictive measures (in each case having the force of law) administered, enacted or enforced from time to time by (a) the United States (including without limitation the U.S. Department of the Treasury, Office of Foreign Assets Control, the U.S. Department of State, and the U.S. Department of Commerce), (b) the European Union and enforced by its member states, (c) the United Nations and (d) the United Kingdom.</w:t>
      </w:r>
    </w:p>
    <w:p>
      <w:pPr>
        <w:spacing w:after="0" w:line="84" w:lineRule="exact"/>
        <w:rPr>
          <w:sz w:val="20"/>
          <w:szCs w:val="20"/>
          <w:color w:val="auto"/>
        </w:rPr>
      </w:pPr>
    </w:p>
    <w:p>
      <w:pPr>
        <w:ind w:firstLine="419"/>
        <w:spacing w:after="0" w:line="254" w:lineRule="auto"/>
        <w:tabs>
          <w:tab w:leader="none" w:pos="6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Non-cooperative Jurisdiction</w:t>
      </w:r>
      <w:r>
        <w:rPr>
          <w:rFonts w:ascii="Times New Roman" w:cs="Times New Roman" w:eastAsia="Times New Roman" w:hAnsi="Times New Roman"/>
          <w:sz w:val="18"/>
          <w:szCs w:val="18"/>
          <w:color w:val="auto"/>
        </w:rPr>
        <w:t>. Such Purchaser is not owned or controlled by or acting on behalf of (in connection with this Agreement), a person or entity resident in, or whose funds used to purchase the Securities are transferred from or through, a country, territory or entity that (i) has been designated as non-cooperative with international anti-money laundering or counter terrorist financing principles or procedures by the United States or by an intergovernmental group or organization, such as the Financial Action Task Force, of which the United States is a member; (ii) is the subject of an advisory issued by the Financial Crimes Enforcement Network of the U.S. Department of the Treasury; or (iii) has been designated by the Secretary of the Treasury under Section 311 of the USA PATRIOT Act as warranting special measures due to money laundering concerns (any such country or territory, a “</w:t>
      </w:r>
      <w:r>
        <w:rPr>
          <w:rFonts w:ascii="Times New Roman" w:cs="Times New Roman" w:eastAsia="Times New Roman" w:hAnsi="Times New Roman"/>
          <w:sz w:val="18"/>
          <w:szCs w:val="18"/>
          <w:u w:val="single" w:color="auto"/>
          <w:color w:val="auto"/>
        </w:rPr>
        <w:t>Non-cooperative Jurisdiction</w:t>
      </w:r>
      <w:r>
        <w:rPr>
          <w:rFonts w:ascii="Times New Roman" w:cs="Times New Roman" w:eastAsia="Times New Roman" w:hAnsi="Times New Roman"/>
          <w:sz w:val="18"/>
          <w:szCs w:val="18"/>
          <w:color w:val="auto"/>
        </w:rPr>
        <w:t>”), or an entity or individual that resides or has a place of business in, or is organized under the laws of, a Non-cooperative Jurisdiction.</w:t>
      </w:r>
    </w:p>
    <w:p>
      <w:pPr>
        <w:spacing w:after="0" w:line="83" w:lineRule="exact"/>
        <w:rPr>
          <w:rFonts w:ascii="Times New Roman" w:cs="Times New Roman" w:eastAsia="Times New Roman" w:hAnsi="Times New Roman"/>
          <w:sz w:val="18"/>
          <w:szCs w:val="18"/>
          <w:color w:val="auto"/>
        </w:rPr>
      </w:pPr>
    </w:p>
    <w:p>
      <w:pPr>
        <w:ind w:right="40" w:firstLine="419"/>
        <w:spacing w:after="0" w:line="254" w:lineRule="auto"/>
        <w:tabs>
          <w:tab w:leader="none" w:pos="63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If such Purchaser is an employee benefit plan that is subject to Title I of the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a plan, an individual retirement account or other arrangement that is subject to section 4975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or an employee benefit plan that is a governmental plan (as defined in section 3(32) of ERISA), a church plan (as defined in section 3(33) of ERISA), a non-U.S. plan (as described in section 4(b)(4) of ERISA) or other plan that is not subject to the foregoing but may be subject to provisions under any other federal, state, local, non-U.S. or other laws or regulations that are similar to such provisions of ERISA or the Code, or an entity whose underlying assets are considered to include “plan assets” of any such plan, account or arrangement subject to the fiduciary or prohibited transaction provisions of ERISA or section 4975 of the Code, Subscriber represents and warrants that the acquisition and holding of the Securities will not result in a non-exempt prohibited transaction under ERISA or Section 4975 of the Code.</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60"/>
          </w:cols>
          <w:pgMar w:left="880" w:top="270" w:right="459" w:bottom="1440" w:gutter="0" w:footer="0" w:header="0"/>
        </w:sectPr>
      </w:pPr>
    </w:p>
    <w:bookmarkStart w:id="31" w:name="page32"/>
    <w:bookmarkEnd w:id="31"/>
    <w:p>
      <w:pPr>
        <w:ind w:left="440" w:right="20" w:firstLine="419"/>
        <w:spacing w:after="0" w:line="252" w:lineRule="auto"/>
        <w:tabs>
          <w:tab w:leader="none" w:pos="107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89" w:lineRule="exact"/>
        <w:rPr>
          <w:rFonts w:ascii="Times New Roman" w:cs="Times New Roman" w:eastAsia="Times New Roman" w:hAnsi="Times New Roman"/>
          <w:sz w:val="18"/>
          <w:szCs w:val="18"/>
          <w:color w:val="auto"/>
        </w:rPr>
      </w:pPr>
    </w:p>
    <w:p>
      <w:pPr>
        <w:ind w:left="440" w:right="60" w:firstLine="419"/>
        <w:spacing w:after="0" w:line="256" w:lineRule="auto"/>
        <w:tabs>
          <w:tab w:leader="none" w:pos="11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Investment Decision</w:t>
      </w:r>
      <w:r>
        <w:rPr>
          <w:rFonts w:ascii="Times New Roman" w:cs="Times New Roman" w:eastAsia="Times New Roman" w:hAnsi="Times New Roman"/>
          <w:sz w:val="18"/>
          <w:szCs w:val="18"/>
          <w:color w:val="auto"/>
        </w:rPr>
        <w:t>. Such Purchaser has independently evaluated the merits of its decision to purchase Securities pursuant to the Transaction Documents, and such Purchaser confirms that it has not relied on the advice of any other Purchaser’s business and/or legal counsel in making such decision. Such Purchaser understands that nothing in this Agreement or any other materials presented by or on behalf of the Company to the Purchaser in connection with the purchase of the Securities constitutes legal, tax or investment advice. Such Purchaser has consulted such legal, tax and investment advisors as it, in its sole discretion, has deemed necessary or appropriate in connection with its purchase of the Securities.</w:t>
      </w:r>
    </w:p>
    <w:p>
      <w:pPr>
        <w:spacing w:after="0" w:line="79" w:lineRule="exact"/>
        <w:rPr>
          <w:rFonts w:ascii="Times New Roman" w:cs="Times New Roman" w:eastAsia="Times New Roman" w:hAnsi="Times New Roman"/>
          <w:sz w:val="18"/>
          <w:szCs w:val="18"/>
          <w:color w:val="auto"/>
        </w:rPr>
      </w:pPr>
    </w:p>
    <w:p>
      <w:pPr>
        <w:ind w:left="440" w:firstLine="419"/>
        <w:spacing w:after="0" w:line="255" w:lineRule="auto"/>
        <w:tabs>
          <w:tab w:leader="none" w:pos="107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To the extent such Purchaser is one of the covered persons identified in Rule 506(d)(1), such Purchaser represents that no Disqualification Event is applicable to such Purchaser or any of its Rule 506(d) Related Parties (as defined below), except, if applicable, for a Disqualification Event as to which Rule 506(d)(2)(ii) or (iii) or (d)(3) is applicable. Such Purchaser hereby agrees that it shall notify the Company promptly in writing in the event a Disqualification Event becomes applicable to such Purchaser or any of its Rule 506(d) Related Parties, except, if applicable, for a Disqualification Event as to which Rule 506(d)(2)(ii) or (iii) or (d)(3) is applicable. For purposes of this Section, “</w:t>
      </w:r>
      <w:r>
        <w:rPr>
          <w:rFonts w:ascii="Times New Roman" w:cs="Times New Roman" w:eastAsia="Times New Roman" w:hAnsi="Times New Roman"/>
          <w:sz w:val="18"/>
          <w:szCs w:val="18"/>
          <w:u w:val="single" w:color="auto"/>
          <w:color w:val="auto"/>
        </w:rPr>
        <w:t>Rule 506(d) Related Party</w:t>
      </w:r>
      <w:r>
        <w:rPr>
          <w:rFonts w:ascii="Times New Roman" w:cs="Times New Roman" w:eastAsia="Times New Roman" w:hAnsi="Times New Roman"/>
          <w:sz w:val="18"/>
          <w:szCs w:val="18"/>
          <w:color w:val="auto"/>
        </w:rPr>
        <w:t>” means a person or entity that is a beneficial owner of such Purchaser’s securities for purposes of Rule 506(d) of the Securities Act.</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40" w:top="270" w:right="479" w:bottom="1440" w:gutter="0" w:footer="0" w:header="0"/>
        </w:sectPr>
      </w:pPr>
    </w:p>
    <w:bookmarkStart w:id="32" w:name="page33"/>
    <w:bookmarkEnd w:id="32"/>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OTHER AGREEMENTS OF THE PARTIES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19"/>
        <w:spacing w:after="0" w:line="255" w:lineRule="auto"/>
        <w:tabs>
          <w:tab w:leader="none" w:pos="66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may only be disposed of in compliance with state and federal securities laws. In connection with any transfer of the Securities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the Registration Rights Agreement and shall have the rights and obligations of a Purchaser under this Agreement and the Registration Rights Agreement.</w:t>
      </w:r>
    </w:p>
    <w:p>
      <w:pPr>
        <w:spacing w:after="0" w:line="80"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agree to the imprinting, so long as is required by this Section 4.1, of a legend on any of the Securities in the following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w:t>
      </w:r>
    </w:p>
    <w:p>
      <w:pPr>
        <w:spacing w:after="0" w:line="9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NEITHER THIS SECURITY NOR THE SECURITIES INTO WHICH THIS SECURITY IS EXERCISABLE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560"/>
          </w:cols>
          <w:pgMar w:left="880" w:top="266" w:right="459" w:bottom="1440" w:gutter="0" w:footer="0" w:header="0"/>
        </w:sectPr>
      </w:pPr>
    </w:p>
    <w:bookmarkStart w:id="33" w:name="page34"/>
    <w:bookmarkEnd w:id="33"/>
    <w:p>
      <w:pPr>
        <w:ind w:left="4" w:firstLine="423"/>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acknowledges and agrees that a Purchaser may from time to time pledge pursuant to a bona fide margin agreement with a registered broker-dealer or grant a security interest in some or all of the Securities to a financial institution that is an “accredited investor” as defined in Rule 501(a) under the Securities Act and, if required under the terms of such arrangement, such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Securities may reasonably request in connection with a pledge or transfer of the Securities, including, if the Securities are subject to registration pursuant to the Registration Rights Agreement, the preparation and filing of any required prospectus supplement under Rule 424(b)</w:t>
      </w:r>
    </w:p>
    <w:p>
      <w:pPr>
        <w:ind w:left="4" w:right="60" w:hanging="4"/>
        <w:spacing w:after="0" w:line="260" w:lineRule="auto"/>
        <w:tabs>
          <w:tab w:leader="none" w:pos="25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Securities Act or other applicable provision of the Securities Act to appropriately amend the list of Selling Stockholders (as defined in the Registration Rights Agreement) thereunder.</w:t>
      </w:r>
    </w:p>
    <w:p>
      <w:pPr>
        <w:spacing w:after="0" w:line="73" w:lineRule="exact"/>
        <w:rPr>
          <w:rFonts w:ascii="Times New Roman" w:cs="Times New Roman" w:eastAsia="Times New Roman" w:hAnsi="Times New Roman"/>
          <w:sz w:val="18"/>
          <w:szCs w:val="18"/>
          <w:color w:val="auto"/>
        </w:rPr>
      </w:pPr>
    </w:p>
    <w:p>
      <w:pPr>
        <w:ind w:left="4" w:firstLine="419"/>
        <w:spacing w:after="0" w:line="252" w:lineRule="auto"/>
        <w:tabs>
          <w:tab w:leader="none" w:pos="67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evidencing the Shares and Warrant Shares shall not contain any legend (including the legend set forth in Section 4.1(b) hereof), (i) while a registration statement (including the Registration Statement) covering the resale of such security is effective under the Securities Act, (ii) following any sale of such Shares or Warrant Shares pursuant to Rule 144 (assuming cashless exercise of the Warrants), (iii) if such Shares or Warrant Shares are eligible for sale under Rule 144 (assuming cashless exercise of the Warrants) without the requirement for the Company to be in compliance with the current public information required under Rule 144 as to such Shares and Warrant Shares and without volume or manner-of-sale restrictions, or (iv) if such legend is not required under applicable requirements of the Securities Act (including judicial interpretations and pronouncements issued by the staff of the Commission). The Company shall cause its counsel to issue a legal opinion to the Transfer Agent or the Purchaser promptly after the Effective Date if required by the Transfer Agent to effect the removal of the legend hereunder, or if requested by a Purchaser, respectively. In making such request, the Purchaser shall deliver a representation certificate, in form and substance reasonably acceptable to Company Counsel and the Transfer Agent that such parties shall be entitled to rely upon in connection with the removal of any legend. If all or any portion of a Warrant is exercised at a time when there is an effective registration statement to cover the resale of the Warrant Shares, or if such Shares or Warrant Shares may be sold under Rule 144 and the Company is then in compliance with the current public information required under Rule 144 (assuming cashless exercise of the Warrants), or if the Shares or Warrant Shares may be sold under Rule 144 without the requirement for the Company to be in compliance with the current public information required under Rule 144 as to such Shares or Warrant Shares or if such legend is not otherwise required under applicable requirements of the Securities Act (including judicial interpretations and pronouncements issued by the staff of the Commission) then such Warrant Shares shall be issued free of all legends. Subject to the receipt of the above noted representation certificate, the Company agrees that following the Effective Date or at such time as such legend is no longer required under this Section 4.1(c), it will, no later than the earlier of (i) two (2) Trading Days and (ii) the number of Trading Days comprising the Standard Settlement Period (as defined below) following the delivery by a Purchaser to the Company or the Transfer Agent of a certificate representing Shares or Warrant Shares, as the case may be, issued with a restrictive legend (such date, the “</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deliver or cause to be delivered to such Purchaser a certificate representing such shares that is free from</w:t>
      </w:r>
    </w:p>
    <w:p>
      <w:pPr>
        <w:spacing w:after="0" w:line="120" w:lineRule="exact"/>
        <w:rPr>
          <w:sz w:val="20"/>
          <w:szCs w:val="20"/>
          <w:color w:val="auto"/>
        </w:rPr>
      </w:pPr>
    </w:p>
    <w:p>
      <w:pPr>
        <w:jc w:val="center"/>
        <w:ind w:right="356"/>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504"/>
          </w:cols>
          <w:pgMar w:left="876" w:top="270" w:right="519" w:bottom="1440" w:gutter="0" w:footer="0" w:header="0"/>
        </w:sectPr>
      </w:pPr>
    </w:p>
    <w:bookmarkStart w:id="34" w:name="page35"/>
    <w:bookmarkEnd w:id="3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restrictive and other legends. The Company may not make any notation on its records or give instructions to the Transfer Agent that enlarge the restrictions on transfer set forth in this Article IV. Certificates for Securities subject to legend removal hereunder shall be transmitted by the Transfer Agent to the Purchaser by crediting the account of the Purchaser’s prime broker with the Depository Trust Company System as directed by such Purchaser.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a certificate representing Shares or Warrant Shares, as the case may be, issued with a restrictive legend.</w:t>
      </w:r>
    </w:p>
    <w:p>
      <w:pPr>
        <w:spacing w:after="0" w:line="79" w:lineRule="exact"/>
        <w:rPr>
          <w:sz w:val="20"/>
          <w:szCs w:val="20"/>
          <w:color w:val="auto"/>
        </w:rPr>
      </w:pPr>
    </w:p>
    <w:p>
      <w:pPr>
        <w:ind w:right="20" w:firstLine="419"/>
        <w:spacing w:after="0" w:line="252" w:lineRule="auto"/>
        <w:tabs>
          <w:tab w:leader="none" w:pos="67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such Purchaser’s other available remedies, the Company shall pay to a Purchaser, in cash, (i) as partial liquidated damages and not as a penalty, for each $1,000 of Shares or Warrant Shares (based on the VWAP of the Common Stock on the date such Securities are submitted to the Transfer Agent) delivered for removal of the restrictive legend and subject to Section 4.1(c), $10 per Trading Day (increasing to $20 per Trading Day five (5) Trading Days after the Legend Removal Date) for each Trading Day after the Legend Removal Date until such certificate is delivered without a legend and (ii) if the Company fails to (a) issue and deliver (or cause to be delivered) to a Purchaser by the Legend Removal Date a certificate representing the Securities so delivered to the Company by such Purchaser that is free from all restrictive and other legends and (b) if after the Legend Removal Date such Purchaser purchases (in an open market transaction or otherwise) shares of Common Stock to deliver in satisfaction of a sale by such Purchaser of all or any portion of the number of shares of Common Stock, or a sale of a number of shares of Common Stock equal to all or any portion of the number of shares of Common Stock that such Purchaser anticipated receiving from the Company without any restrictive legend, then, an amount equal to the excess of such Purchaser’s total purchase price (including brokerage commissions and other out-of-pocket expenses, if any) for the shares of Common Stock so purchased (including brokerage commissions and other out-of-pocket expenses, if any) (the “</w:t>
      </w:r>
      <w:r>
        <w:rPr>
          <w:rFonts w:ascii="Times New Roman" w:cs="Times New Roman" w:eastAsia="Times New Roman" w:hAnsi="Times New Roman"/>
          <w:sz w:val="18"/>
          <w:szCs w:val="18"/>
          <w:u w:val="single" w:color="auto"/>
          <w:color w:val="auto"/>
        </w:rPr>
        <w:t>Buy-In Price</w:t>
      </w:r>
      <w:r>
        <w:rPr>
          <w:rFonts w:ascii="Times New Roman" w:cs="Times New Roman" w:eastAsia="Times New Roman" w:hAnsi="Times New Roman"/>
          <w:sz w:val="18"/>
          <w:szCs w:val="18"/>
          <w:color w:val="auto"/>
        </w:rPr>
        <w:t>”) over the product of (A) such number of Shares or Warrant Shares that the Company was required to deliver to such Purchaser by the Legend Removal Date multiplied by (B) the lowest closing sale price of the Common Stock on any Trading Day during the period commencing on the date of the delivery by such Purchaser to the Company of the applicable Shares or Warrant Shares (as the case may be) and ending on the date of such delivery and payment under this clause (ii).</w:t>
      </w:r>
    </w:p>
    <w:p>
      <w:pPr>
        <w:spacing w:after="0" w:line="87" w:lineRule="exact"/>
        <w:rPr>
          <w:rFonts w:ascii="Times New Roman" w:cs="Times New Roman" w:eastAsia="Times New Roman" w:hAnsi="Times New Roman"/>
          <w:sz w:val="18"/>
          <w:szCs w:val="18"/>
          <w:color w:val="auto"/>
        </w:rPr>
      </w:pPr>
    </w:p>
    <w:p>
      <w:pPr>
        <w:ind w:right="40" w:firstLine="419"/>
        <w:spacing w:after="0" w:line="258" w:lineRule="auto"/>
        <w:tabs>
          <w:tab w:leader="none" w:pos="66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severally and not jointly with the other Purchasers, agrees with the Company that such Purchaser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 and acknowledges that the removal of the restrictive legend from certificates representing Securities as set forth in this Section 4.1 is predicated upon the Company’s reliance upon this understanding.</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560"/>
          </w:cols>
          <w:pgMar w:left="880" w:top="270" w:right="459" w:bottom="1440" w:gutter="0" w:footer="0" w:header="0"/>
        </w:sectPr>
      </w:pPr>
    </w:p>
    <w:bookmarkStart w:id="35" w:name="page36"/>
    <w:bookmarkEnd w:id="3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4.2 </w:t>
      </w:r>
      <w:r>
        <w:rPr>
          <w:rFonts w:ascii="Times New Roman" w:cs="Times New Roman" w:eastAsia="Times New Roman" w:hAnsi="Times New Roman"/>
          <w:sz w:val="18"/>
          <w:szCs w:val="18"/>
          <w:u w:val="single" w:color="auto"/>
          <w:color w:val="auto"/>
        </w:rPr>
        <w:t>Furnishing of Information; Public Information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40" w:right="100" w:firstLine="419"/>
        <w:spacing w:after="0" w:line="281" w:lineRule="auto"/>
        <w:tabs>
          <w:tab w:leader="none" w:pos="1108"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Until the earlier of the time that (i) no Purchaser owns Securities or (ii) the Warrants have expired or been fully exercised, the Company covenants to use reasonable best efforts to maintain the registration of the Common Stock under Section 12(b) or 12(g) of the Exchange Act and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56" w:lineRule="exact"/>
        <w:rPr>
          <w:rFonts w:ascii="Times New Roman" w:cs="Times New Roman" w:eastAsia="Times New Roman" w:hAnsi="Times New Roman"/>
          <w:sz w:val="17"/>
          <w:szCs w:val="17"/>
          <w:color w:val="auto"/>
        </w:rPr>
      </w:pPr>
    </w:p>
    <w:p>
      <w:pPr>
        <w:ind w:left="440" w:right="40" w:firstLine="419"/>
        <w:spacing w:after="0"/>
        <w:tabs>
          <w:tab w:leader="none" w:pos="111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period commencing from the six (6) month anniversary of the date hereof and ending at such time that all of the Shares and Warrant Shares (assuming cashless exercise)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an issuer in the future, and the Company shall fail to satisfy any condition set forth in Rule 144(i)(2) (a “</w:t>
      </w:r>
      <w:r>
        <w:rPr>
          <w:rFonts w:ascii="Times New Roman" w:cs="Times New Roman" w:eastAsia="Times New Roman" w:hAnsi="Times New Roman"/>
          <w:sz w:val="18"/>
          <w:szCs w:val="18"/>
          <w:u w:val="single" w:color="auto"/>
          <w:color w:val="auto"/>
        </w:rPr>
        <w:t>Public Information Failure</w:t>
      </w:r>
      <w:r>
        <w:rPr>
          <w:rFonts w:ascii="Times New Roman" w:cs="Times New Roman" w:eastAsia="Times New Roman" w:hAnsi="Times New Roman"/>
          <w:sz w:val="18"/>
          <w:szCs w:val="18"/>
          <w:color w:val="auto"/>
        </w:rPr>
        <w:t>”) then, in addition to such Purchaser’s other available remedies, the Company shall pay to a Purchaser, in cash, as partial liquidated damages and not as a penalty, by reason of any such delay in or reduction of its ability to sell the Securities, an amount in cash equal to two percent (2.0%) of the aggregate Subscription Amount of such Purchaser’s Securities on the day of a Public Information Failure and on every thirtieth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(pro rated for periods totaling less than thirty days) thereafter until the earlier of (a) the date such Public Information Failure is cured and (b) such time that such public information is no longer required for the Purchasers to transfer the Shares and Warrant Shares pursuant to Rule 144, provided that a Purchaser shall not be entitled to a payment pursuant to the foregoing, if such Purchaser is able to (i) exercise its Warrants on a cashless basis and sell the Warrant Shares pursuant to Rule 144 without restrictions, (ii) sell its Shares pursuant to Rule 144 without restrictions or (iii) or sell its Warrant Shares or Shares, as the case may be, pursuant to an applicable registration statement. The payments to which a Purchaser shall be entitled pursuant to this Section 4.2(b) are referred to herein as “</w:t>
      </w:r>
      <w:r>
        <w:rPr>
          <w:rFonts w:ascii="Times New Roman" w:cs="Times New Roman" w:eastAsia="Times New Roman" w:hAnsi="Times New Roman"/>
          <w:sz w:val="18"/>
          <w:szCs w:val="18"/>
          <w:u w:val="single" w:color="auto"/>
          <w:color w:val="auto"/>
        </w:rPr>
        <w:t>Public Information Failure Payments</w:t>
      </w:r>
      <w:r>
        <w:rPr>
          <w:rFonts w:ascii="Times New Roman" w:cs="Times New Roman" w:eastAsia="Times New Roman" w:hAnsi="Times New Roman"/>
          <w:sz w:val="18"/>
          <w:szCs w:val="18"/>
          <w:color w:val="auto"/>
        </w:rPr>
        <w:t>.” Public Information Failure Payments shall be paid on the earlier of (i) the last day of the calendar month during which such Public Information Failure Payments are incurred and (ii)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Business Day after the event or failure giving rise to the Public Information Failure Payments is cured. In the event the Company fails to make Public Information Failure Payments in a timely manner, such Public Information Failure Payments shall bear interest at the rate of 1.5%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p>
    <w:p>
      <w:pPr>
        <w:spacing w:after="0" w:line="21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270" w:right="479" w:bottom="1440" w:gutter="0" w:footer="0" w:header="0"/>
        </w:sectPr>
      </w:pPr>
    </w:p>
    <w:bookmarkStart w:id="36" w:name="page37"/>
    <w:bookmarkEnd w:id="36"/>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4.4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including, without limitation, the Placement Agents,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(i) any registration statement contemplated by the Registration Rights Agreement and (ii)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4108450</wp:posOffset>
            </wp:positionH>
            <wp:positionV relativeFrom="paragraph">
              <wp:posOffset>-167640</wp:posOffset>
            </wp:positionV>
            <wp:extent cx="285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9"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70" w:right="439" w:bottom="1440" w:gutter="0" w:footer="0" w:header="0"/>
        </w:sectPr>
      </w:pPr>
    </w:p>
    <w:bookmarkStart w:id="37" w:name="page38"/>
    <w:bookmarkEnd w:id="37"/>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including, without limitation, the Placement Agents, or a duty to the Company, any of its Subsidiaries or any of their respective officers, directors, employees, Affiliates or agents, including, without limitation, the Placement Agents,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spacing w:after="0" w:line="192"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Securities hereunder for working capital purposes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Subject to the provisions of this Section 4.7,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“Purchaser Party”)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0"/>
          </w:cols>
          <w:pgMar w:left="440" w:top="270" w:right="439" w:bottom="1440" w:gutter="0" w:footer="0" w:header="0"/>
        </w:sectPr>
      </w:pPr>
    </w:p>
    <w:bookmarkStart w:id="38" w:name="page39"/>
    <w:bookmarkEnd w:id="3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participate in the defense thereof, but the fees and expenses of such counsel shall be at the expense of such Purchaser Party except to the extent that</w:t>
      </w:r>
    </w:p>
    <w:p>
      <w:pPr>
        <w:spacing w:after="0" w:line="27" w:lineRule="exact"/>
        <w:rPr>
          <w:sz w:val="20"/>
          <w:szCs w:val="20"/>
          <w:color w:val="auto"/>
        </w:rPr>
      </w:pPr>
    </w:p>
    <w:p>
      <w:pPr>
        <w:ind w:left="4" w:right="40" w:hanging="4"/>
        <w:spacing w:after="0" w:line="251" w:lineRule="auto"/>
        <w:tabs>
          <w:tab w:leader="none" w:pos="21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4.7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193"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Warrant Shares pursuant to any exercise of the Warrants.</w:t>
      </w:r>
    </w:p>
    <w:p>
      <w:pPr>
        <w:spacing w:after="0" w:line="176" w:lineRule="exact"/>
        <w:rPr>
          <w:sz w:val="20"/>
          <w:szCs w:val="20"/>
          <w:color w:val="auto"/>
        </w:rPr>
      </w:pPr>
    </w:p>
    <w:p>
      <w:pPr>
        <w:ind w:left="4"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reasonable best efforts to maintain the listing or quotation of the Common Stock on the Trading Market on which it is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Subsequent Equity Sales.</w:t>
      </w:r>
    </w:p>
    <w:p>
      <w:pPr>
        <w:spacing w:after="0" w:line="117" w:lineRule="exact"/>
        <w:rPr>
          <w:sz w:val="20"/>
          <w:szCs w:val="20"/>
          <w:color w:val="auto"/>
        </w:rPr>
      </w:pPr>
    </w:p>
    <w:p>
      <w:pPr>
        <w:ind w:left="444" w:right="100" w:firstLine="419"/>
        <w:spacing w:after="0" w:line="266" w:lineRule="auto"/>
        <w:tabs>
          <w:tab w:leader="none" w:pos="111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the later of: (i) the Effective Date, (ii) the Stockholder Approval Date (if applicable), or (iii) ninety (90) days after the date of this Agreement (the “Outside Date”), neither the Company nor any Subsidiary shall (i) issue, enter into any agreement to issue or announce the issuance or proposed issuance of any</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4"/>
          </w:cols>
          <w:pgMar w:left="436" w:top="270" w:right="439" w:bottom="1440" w:gutter="0" w:footer="0" w:header="0"/>
        </w:sectPr>
      </w:pPr>
    </w:p>
    <w:bookmarkStart w:id="39" w:name="page40"/>
    <w:bookmarkEnd w:id="39"/>
    <w:p>
      <w:pPr>
        <w:ind w:left="440"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shares of Common Stock or Common Stock Equivalents (other than an Exempt Issuance) or (ii) file any registration statement or any amendment or supplement thereto, in each case other than as contemplated pursuant to the Registration Rights Agreement and the filing a registration statement on Form S-8 in connection with any employee compensation plan.</w:t>
      </w:r>
    </w:p>
    <w:p>
      <w:pPr>
        <w:spacing w:after="0" w:line="68" w:lineRule="exact"/>
        <w:rPr>
          <w:sz w:val="20"/>
          <w:szCs w:val="20"/>
          <w:color w:val="auto"/>
        </w:rPr>
      </w:pPr>
    </w:p>
    <w:p>
      <w:pPr>
        <w:ind w:left="440" w:right="20" w:firstLine="419"/>
        <w:spacing w:after="0" w:line="252" w:lineRule="auto"/>
        <w:tabs>
          <w:tab w:leader="none" w:pos="111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the later of: (x) the Outside Date, or (y) six (6) months from the Closing Date,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xml:space="preserve">”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regardless of whether shares pursuant to such agreement have actually been issued and regardless of whether such agreement is subsequently canceled;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the prohibition period in Section 4.10(a) herein, the entry into and/or issuance of shares of Common Stock in an “at the market” offering with the Placement Agent as sales agent shall not be deemed a Variable Rate Transaction. Any Purchaser shall be entitled to obtain injunctive relief against the Company to preclude any such issuance, which remedy shall be in addition to any right to collect damages.</w:t>
      </w:r>
    </w:p>
    <w:p>
      <w:pPr>
        <w:spacing w:after="0" w:line="89" w:lineRule="exact"/>
        <w:rPr>
          <w:rFonts w:ascii="Times New Roman" w:cs="Times New Roman" w:eastAsia="Times New Roman" w:hAnsi="Times New Roman"/>
          <w:sz w:val="18"/>
          <w:szCs w:val="18"/>
          <w:color w:val="auto"/>
        </w:rPr>
      </w:pPr>
    </w:p>
    <w:p>
      <w:pPr>
        <w:ind w:left="440" w:right="760" w:firstLine="419"/>
        <w:spacing w:after="0" w:line="282" w:lineRule="auto"/>
        <w:tabs>
          <w:tab w:leader="none" w:pos="110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Section 4.10 shall not apply in respect of an Exempt Issuance, except that no Variable Rate Transaction shall be an Exempt Issuance.</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this Agreement) shall be offered or paid to any Person to amend or consent to a waiver or modification of any provision of this Agreement unless the same consideration is also offered to all of the parties to this Agreement.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40" w:name="page41"/>
    <w:bookmarkEnd w:id="40"/>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4.12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without limitation, the Placement Agents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Form D; Blue Sky Filings</w:t>
      </w:r>
      <w:r>
        <w:rPr>
          <w:rFonts w:ascii="Times New Roman" w:cs="Times New Roman" w:eastAsia="Times New Roman" w:hAnsi="Times New Roman"/>
          <w:sz w:val="18"/>
          <w:szCs w:val="18"/>
          <w:color w:val="auto"/>
        </w:rPr>
        <w:t>. The Company agrees to timely file a Form D with respect to the Securities as required under Regulation D.</w:t>
      </w:r>
    </w:p>
    <w:p>
      <w:pPr>
        <w:spacing w:after="0" w:line="225"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Acknowledgment of Dilution</w:t>
      </w:r>
      <w:r>
        <w:rPr>
          <w:rFonts w:ascii="Times New Roman" w:cs="Times New Roman" w:eastAsia="Times New Roman" w:hAnsi="Times New Roman"/>
          <w:sz w:val="18"/>
          <w:szCs w:val="18"/>
          <w:color w:val="auto"/>
        </w:rPr>
        <w:t>. The Company acknowledges that the issuance of the Shares and the Warrant Shares may result in dilution of the outstanding shares of Common Stock, which dilution may be substantial under certain market conditions. The Company further acknowledges that its obligations under the Transaction Documents, including, without limitation, its obligation to issue the Shares and Warrant Shares pursuant to the Transaction Documents, are unconditional and absolute and not subject to any right of set off, counterclaim, delay or reduction, regardless of the effect of any such dilution or any claim the Company may have against any Purchaser and regardless of the dilutive effect that such issuance may have on the ownership of the other stockholders of the Company.</w:t>
      </w:r>
    </w:p>
    <w:p>
      <w:pPr>
        <w:spacing w:after="0" w:line="187"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 xml:space="preserve">4.15 </w:t>
      </w:r>
      <w:r>
        <w:rPr>
          <w:rFonts w:ascii="Times New Roman" w:cs="Times New Roman" w:eastAsia="Times New Roman" w:hAnsi="Times New Roman"/>
          <w:sz w:val="17"/>
          <w:szCs w:val="17"/>
          <w:u w:val="single" w:color="auto"/>
          <w:color w:val="auto"/>
        </w:rPr>
        <w:t>Exercise Procedures</w:t>
      </w:r>
      <w:r>
        <w:rPr>
          <w:rFonts w:ascii="Times New Roman" w:cs="Times New Roman" w:eastAsia="Times New Roman" w:hAnsi="Times New Roman"/>
          <w:sz w:val="17"/>
          <w:szCs w:val="17"/>
          <w:color w:val="auto"/>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41" w:name="page42"/>
    <w:bookmarkEnd w:id="41"/>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4.16 </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The Company shall not amend, modify, waive or terminate any provision of any of the Lock-Up Agreements except to extend the term of the lock-up period and shall enforce the provisions of each Lock-Up Agreement in accordance with its terms. If any party to a Lock-Up Agreement breaches any provision of a Lock-Up Agreement, the Company shall promptly use its best efforts to seek specific performance of the terms of such Lock-Up Agreement.</w:t>
      </w:r>
    </w:p>
    <w:p>
      <w:pPr>
        <w:spacing w:after="0" w:line="18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To the extent required under the applicable rules and regulations of the Trading Market (or any successor entity), the Company shall solicit via the written consent of holders of a majority of the Company’s voting shares of capital stock then outstanding on or prior to the date that is seventy-five (75) days following the Closing Date for the purpose of obtaining the Stockholder Approval, with the recommendation of the Company’s Board of Directors that such proposals be approved. The Company shall set the record date for Stockholder Approval as soon as practicable following the Closing Date. If the Company is unable to secure Stockholder Approval within such 75-day period, the Company shall convene subsequent stockholder meetings no less frequently than once every 90 days until such time as the Stockholder Approval is obtained.</w:t>
      </w:r>
    </w:p>
    <w:p>
      <w:pPr>
        <w:spacing w:after="0" w:line="187"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Governance Changes</w:t>
      </w:r>
      <w:r>
        <w:rPr>
          <w:rFonts w:ascii="Times New Roman" w:cs="Times New Roman" w:eastAsia="Times New Roman" w:hAnsi="Times New Roman"/>
          <w:sz w:val="18"/>
          <w:szCs w:val="18"/>
          <w:color w:val="auto"/>
        </w:rPr>
        <w:t>. As promptly as possible following the Closing, but in no event later than ninety (90) days following the Closing Date, the Company shall use reasonable best efforts to: (a) amend the Company’s Amended and Restated Certificate of Incorporation to, among other things, effect the following: (i) reduce the number of votes to which each share of Class B Common Stock is entitled from ten (10) votes to one (1) vote, (ii) eliminate the ability of the Company’s stockholders to act by written consent, and (iii) include additional stockholder protective provisions (not including a classified board) (which provisions shall be reasonably acceptable to Samsara Biocapital, (b) make necessary conforming changes to the Company’s Amended and Restated Bylaws as a result of the amendments contemplated by (a) above, (c) make necessary conforming changes to that certain Fifth Amended and Restated Limited Liability Company Agreement, dated August 3, 2021, as a result of the amendments contemplated by (a) above, and (d) terminate that certain Tax Receivable Agreement, dated August 3, 2021.</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BOARD MATTERS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Samsara Board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61" w:lineRule="auto"/>
        <w:tabs>
          <w:tab w:leader="none" w:pos="123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as long as Samsara Biocapital and its affiliates (collectively “</w:t>
      </w:r>
      <w:r>
        <w:rPr>
          <w:rFonts w:ascii="Times New Roman" w:cs="Times New Roman" w:eastAsia="Times New Roman" w:hAnsi="Times New Roman"/>
          <w:sz w:val="18"/>
          <w:szCs w:val="18"/>
          <w:u w:val="single" w:color="auto"/>
          <w:color w:val="auto"/>
        </w:rPr>
        <w:t>Samsara</w:t>
      </w:r>
      <w:r>
        <w:rPr>
          <w:rFonts w:ascii="Times New Roman" w:cs="Times New Roman" w:eastAsia="Times New Roman" w:hAnsi="Times New Roman"/>
          <w:sz w:val="18"/>
          <w:szCs w:val="18"/>
          <w:color w:val="auto"/>
        </w:rPr>
        <w:t>”) beneficially own securities representing at least 25% of the Securities issued to it on the Closing Date (including upon exercise of the Warrants), Samsara shall have the right, subject to compliance with the applicable rules and regulations of the Trading Market, to designate one (1) member of the Board of Directors (such designee, the “</w:t>
      </w:r>
      <w:r>
        <w:rPr>
          <w:rFonts w:ascii="Times New Roman" w:cs="Times New Roman" w:eastAsia="Times New Roman" w:hAnsi="Times New Roman"/>
          <w:sz w:val="18"/>
          <w:szCs w:val="18"/>
          <w:u w:val="single" w:color="auto"/>
          <w:color w:val="auto"/>
        </w:rPr>
        <w:t>Samsara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who shall be designated in a writing delivered by Samsara to the Company following the Closing.</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42" w:name="page43"/>
    <w:bookmarkEnd w:id="42"/>
    <w:p>
      <w:pPr>
        <w:ind w:left="1240" w:hanging="253"/>
        <w:spacing w:after="0"/>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as long as Samsara holds the right to designate the Samsara Board Representative pursuant to this Section 5.1:</w:t>
      </w:r>
    </w:p>
    <w:p>
      <w:pPr>
        <w:spacing w:after="0" w:line="117" w:lineRule="exact"/>
        <w:rPr>
          <w:rFonts w:ascii="Times New Roman" w:cs="Times New Roman" w:eastAsia="Times New Roman" w:hAnsi="Times New Roman"/>
          <w:sz w:val="18"/>
          <w:szCs w:val="18"/>
          <w:color w:val="auto"/>
        </w:rPr>
      </w:pPr>
    </w:p>
    <w:p>
      <w:pPr>
        <w:ind w:right="80" w:firstLine="1428"/>
        <w:spacing w:after="0" w:line="254" w:lineRule="auto"/>
        <w:tabs>
          <w:tab w:leader="none" w:pos="164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cause the Samsara Board Representative to be promptly elected or appointed to the Board of Directors, including by taking all action as may be necessary to secure the favorable votes of the Board of Directors or the stockholders of the Company, as applicable, in respect of the election or appointment, as the case may be, of such Samsara Board Representative at the time of any future director elections or appointments (including to fill any vacancy), whether at any annual or special meeting stockholders, or pursuant to any written consent or vote of the Board of Directors or stockholders of the Company or, to the extent necessary, by expanding the size of the board of directors or seeking the resignation of a member of the board of directors as of the date hereof, and appointing the Samsara Board Representative to the board of directors. As soon as practicable following the Closing Date and Samsara’s designation of the Samsara Board Representative as set forth in Section 5.1(a), the Company shall cause such individual to be elected or appointed to the board of directors as the Samsara Board Representative; and</w:t>
      </w:r>
    </w:p>
    <w:p>
      <w:pPr>
        <w:spacing w:after="0" w:line="191" w:lineRule="exact"/>
        <w:rPr>
          <w:rFonts w:ascii="Times New Roman" w:cs="Times New Roman" w:eastAsia="Times New Roman" w:hAnsi="Times New Roman"/>
          <w:sz w:val="18"/>
          <w:szCs w:val="18"/>
          <w:color w:val="auto"/>
        </w:rPr>
      </w:pPr>
    </w:p>
    <w:p>
      <w:pPr>
        <w:ind w:firstLine="1428"/>
        <w:spacing w:after="0" w:line="282" w:lineRule="auto"/>
        <w:tabs>
          <w:tab w:leader="none" w:pos="169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without the prior written approval of Samsara, decrease the size of the board of directors if such decrease would require the resignation from the board of directors of the Samsara Board Representative.</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 Indemnification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428"/>
        <w:spacing w:after="0" w:line="256" w:lineRule="auto"/>
        <w:tabs>
          <w:tab w:leader="none" w:pos="164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reimburse the Samsara Board Representative for their reasonable and documented out-of-pocket expenses incurred in connection with travel to or from and attendance at each meeting of the Board of Directors. In addition, the Samsara Board Representative will be entitled to compensation in accordance with the Company’s non-employee director compensation policy, as in effect from time to time; provided that the Company shall cooperate to the fullest extent possible with any transfer or assignment to Samsara or its designee of any compensation, whether in cash, securities, or other property, which the Samsara Board Representative is entitled to receive from the Company for serving on the board of directors, if so required by any Samsara policy or agreement applicable to the Samsara Board Representative.</w:t>
      </w:r>
    </w:p>
    <w:p>
      <w:pPr>
        <w:spacing w:after="0" w:line="183" w:lineRule="exact"/>
        <w:rPr>
          <w:sz w:val="20"/>
          <w:szCs w:val="20"/>
          <w:color w:val="auto"/>
        </w:rPr>
      </w:pPr>
    </w:p>
    <w:p>
      <w:pPr>
        <w:ind w:right="60" w:firstLine="1432"/>
        <w:spacing w:after="0" w:line="257"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Samsara Board Representative shall be entitled to indemnification by the Company to the maximum extent permitted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and the Company’s governing documents and shall enter into the Company’s standard form of indemnification agreement with its executive officers and directors, as may be amended from time to time, on terms at least as favorable to the Samsara Board Representative as those then provided by the Company to any other member of the board of directors. The Company hereby acknowledges that the Samsara Board Representative may have certain rights to indemnification, advancement of expenses and/or insurance provided by Samsara or certain of its affiliates (collectively, the “</w:t>
      </w:r>
      <w:r>
        <w:rPr>
          <w:rFonts w:ascii="Times New Roman" w:cs="Times New Roman" w:eastAsia="Times New Roman" w:hAnsi="Times New Roman"/>
          <w:sz w:val="18"/>
          <w:szCs w:val="18"/>
          <w:u w:val="single" w:color="auto"/>
          <w:color w:val="auto"/>
        </w:rPr>
        <w:t>Samsara Indemnitors</w:t>
      </w:r>
      <w:r>
        <w:rPr>
          <w:rFonts w:ascii="Times New Roman" w:cs="Times New Roman" w:eastAsia="Times New Roman" w:hAnsi="Times New Roman"/>
          <w:sz w:val="18"/>
          <w:szCs w:val="18"/>
          <w:color w:val="auto"/>
        </w:rPr>
        <w:t>”), and agrees that the liability of the Company in respect of its obligations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0"/>
          </w:cols>
          <w:pgMar w:left="440" w:top="270" w:right="479" w:bottom="1440" w:gutter="0" w:footer="0" w:header="0"/>
        </w:sectPr>
      </w:pPr>
    </w:p>
    <w:bookmarkStart w:id="43" w:name="page44"/>
    <w:bookmarkEnd w:id="4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Samsara Board Representative in respect of indemnification, expense advancement, amounts paid in compromise or settlement, and the other obligations of the Company pursuant to such indemnification agreement or similar or related obligation of the Company shall be primary, without regard to any advancement or payment by any Samsara Indemnitor on behalf of any Samsara Board Representative. Without limitation by any of the foregoing, the Company hereby irrevocably waives, relinquishes and releases the Samsara Indemnitors from any and all claims against any of them for contribution, subrogation or any other recovery of any kind in respect of any Company obligation to the Samsara Board Representative under any indemnification agreement or similar or related obligation of the Company. In no case shall the terms of any agreement with the Company entered into by the Samsara Board Representative be deemed to terminate, amend, modify or replace the terms of this Section 5.1(c)(ii) unless the Samsara Board Representative explicitly consents to such termination, amendment, modification or replacement by specific reference to this Section 5.1(c)(ii). The Company agrees that the Samsara Indemnitors are express third party beneficiaries of the terms of this Section 5.1(c)(ii).</w:t>
      </w:r>
    </w:p>
    <w:p>
      <w:pPr>
        <w:spacing w:after="0" w:line="188" w:lineRule="exact"/>
        <w:rPr>
          <w:sz w:val="20"/>
          <w:szCs w:val="20"/>
          <w:color w:val="auto"/>
        </w:rPr>
      </w:pPr>
    </w:p>
    <w:p>
      <w:pPr>
        <w:ind w:left="1240" w:hanging="253"/>
        <w:spacing w:after="0"/>
        <w:tabs>
          <w:tab w:leader="none" w:pos="1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Disqualification; Vacancy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160" w:firstLine="1428"/>
        <w:spacing w:after="0" w:line="258" w:lineRule="auto"/>
        <w:tabs>
          <w:tab w:leader="none" w:pos="164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as long as Samsara holds the right to designate a member of the Board of Directors pursuant to this Section 5.1, in the event that a vacancy is created at any time by the death, disability, retirement, resignation (including due to the operation of Section 5.1(d)(ii)) or removal of the Samsara Board Representative, then Samsara may designate another individual reasonably satisfactory to the Company to serve as the Samsara Board Representative, subject to the applicable rules and regulations of the Trading Market and the Company hereby agrees to take, at any time and from time to time, all actions necessary to accomplish the same.</w:t>
      </w:r>
    </w:p>
    <w:p>
      <w:pPr>
        <w:spacing w:after="0" w:line="183" w:lineRule="exact"/>
        <w:rPr>
          <w:rFonts w:ascii="Times New Roman" w:cs="Times New Roman" w:eastAsia="Times New Roman" w:hAnsi="Times New Roman"/>
          <w:sz w:val="18"/>
          <w:szCs w:val="18"/>
          <w:color w:val="auto"/>
        </w:rPr>
      </w:pPr>
    </w:p>
    <w:p>
      <w:pPr>
        <w:ind w:right="60" w:firstLine="1428"/>
        <w:spacing w:after="0" w:line="258" w:lineRule="auto"/>
        <w:tabs>
          <w:tab w:leader="none" w:pos="169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reasonably determines that the Samsara Board Representative is subject to any Disqualification Event, as evidenced by the written advice of legal counsel of national or international standing, then such Samsara Board Representative shall immediately tender their resignation from the Board of Directors. No such disqualification of the serving Samsara Board Representative shall limit Samsara’s rights under this Section 5.1. Samsara shall represent to the Company that the initial Samsara Board Representative to be elected or appointed to the Board pursuant to Section 5.1(a) is not subject to a Disqualification Event.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Anomaly Board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40" w:firstLine="987"/>
        <w:spacing w:after="0" w:line="261" w:lineRule="auto"/>
        <w:tabs>
          <w:tab w:leader="none" w:pos="12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as long as Anomaly Ventures, LLC and its affiliates (collectively “</w:t>
      </w:r>
      <w:r>
        <w:rPr>
          <w:rFonts w:ascii="Times New Roman" w:cs="Times New Roman" w:eastAsia="Times New Roman" w:hAnsi="Times New Roman"/>
          <w:sz w:val="18"/>
          <w:szCs w:val="18"/>
          <w:u w:val="single" w:color="auto"/>
          <w:color w:val="auto"/>
        </w:rPr>
        <w:t>Anomaly</w:t>
      </w:r>
      <w:r>
        <w:rPr>
          <w:rFonts w:ascii="Times New Roman" w:cs="Times New Roman" w:eastAsia="Times New Roman" w:hAnsi="Times New Roman"/>
          <w:sz w:val="18"/>
          <w:szCs w:val="18"/>
          <w:color w:val="auto"/>
        </w:rPr>
        <w:t>”) beneficially own securities representing at least 25% of the Securities issued to it on the Closing Date (including upon exercise of the Warrants), Anomaly shall have the right, subject to compliance with the applicable rules and regulations of the Trading Market, to designate one (1) member of the Board of Directors (such designee, the “</w:t>
      </w:r>
      <w:r>
        <w:rPr>
          <w:rFonts w:ascii="Times New Roman" w:cs="Times New Roman" w:eastAsia="Times New Roman" w:hAnsi="Times New Roman"/>
          <w:sz w:val="18"/>
          <w:szCs w:val="18"/>
          <w:u w:val="single" w:color="auto"/>
          <w:color w:val="auto"/>
        </w:rPr>
        <w:t>Anomaly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who shall be designated in a writing delivered by Anomaly to the Company following the Closing.</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44" w:name="page45"/>
    <w:bookmarkEnd w:id="44"/>
    <w:p>
      <w:pPr>
        <w:ind w:left="1240" w:hanging="253"/>
        <w:spacing w:after="0"/>
        <w:tabs>
          <w:tab w:leader="none" w:pos="12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as long as Anomaly holds the right to designate the Anomaly Board Representative pursuant to this Section 5.2:</w:t>
      </w:r>
    </w:p>
    <w:p>
      <w:pPr>
        <w:spacing w:after="0" w:line="117" w:lineRule="exact"/>
        <w:rPr>
          <w:rFonts w:ascii="Times New Roman" w:cs="Times New Roman" w:eastAsia="Times New Roman" w:hAnsi="Times New Roman"/>
          <w:sz w:val="18"/>
          <w:szCs w:val="18"/>
          <w:color w:val="auto"/>
        </w:rPr>
      </w:pPr>
    </w:p>
    <w:p>
      <w:pPr>
        <w:ind w:right="80" w:firstLine="1428"/>
        <w:spacing w:after="0" w:line="254" w:lineRule="auto"/>
        <w:tabs>
          <w:tab w:leader="none" w:pos="164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cause the Anomaly Board Representative to be promptly elected or appointed to the Board of Directors, including by taking all action as may be necessary to secure the favorable votes of the Board of Directors or the stockholders of the Company, as applicable, in respect of the election or appointment, as the case may be, of such Anomaly Board Representative at the time of any future director elections or appointments (including to fill any vacancy), whether at any annual or special meeting stockholders, or pursuant to any written consent or vote of the Board of Directors or stockholders of the Company or, to the extent necessary, by expanding the size of the board of directors or seeking the resignation of a member of the board of directors as of the date hereof, and appointing the Anomaly Board Representative to the board of directors. As soon as practicable following the Closing Date and Anomaly’s designation of the Anomaly Board Representative as set forth in Section 5.2(a), the Company shall cause such individual to be elected or appointed to the board of directors as the Anomaly Board Representative; and</w:t>
      </w:r>
    </w:p>
    <w:p>
      <w:pPr>
        <w:spacing w:after="0" w:line="188" w:lineRule="exact"/>
        <w:rPr>
          <w:sz w:val="20"/>
          <w:szCs w:val="20"/>
          <w:color w:val="auto"/>
        </w:rPr>
      </w:pPr>
    </w:p>
    <w:p>
      <w:pPr>
        <w:ind w:right="620" w:firstLine="1432"/>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not, without the prior written approval of Anomaly, decrease the size of the board of directors if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decrease would require the resignation from the board of directors of the Anomaly Board Representative.</w:t>
      </w:r>
    </w:p>
    <w:p>
      <w:pPr>
        <w:spacing w:after="0" w:line="159" w:lineRule="exact"/>
        <w:rPr>
          <w:sz w:val="20"/>
          <w:szCs w:val="20"/>
          <w:color w:val="auto"/>
        </w:rPr>
      </w:pPr>
    </w:p>
    <w:p>
      <w:pPr>
        <w:ind w:left="1240" w:hanging="253"/>
        <w:spacing w:after="0"/>
        <w:tabs>
          <w:tab w:leader="none" w:pos="12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Expenses; Indemnification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firstLine="1428"/>
        <w:spacing w:after="0" w:line="256" w:lineRule="auto"/>
        <w:tabs>
          <w:tab w:leader="none" w:pos="164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reimburse the Anomaly Board Representative for their reasonable and documented out-of-pocket expenses incurred in connection with travel to or from and attendance at each meeting of the Board of Directors. In addition, the Anomaly Board Representative will be entitled to compensation in accordance with the Company’s non-employee director compensation policy, as in effect from time to time; provided that the Company shall cooperate to the fullest extent possible with any transfer or assignment to Anomaly or its designee of any compensation, whether in cash, securities, or other property, which the Anomaly Board Representative is entitled to receive from the Company for serving on the board of directors, if so required by any Anomaly policy or agreement applicable to the Anomaly Board Representative.</w:t>
      </w:r>
    </w:p>
    <w:p>
      <w:pPr>
        <w:spacing w:after="0" w:line="187" w:lineRule="exact"/>
        <w:rPr>
          <w:rFonts w:ascii="Times New Roman" w:cs="Times New Roman" w:eastAsia="Times New Roman" w:hAnsi="Times New Roman"/>
          <w:sz w:val="18"/>
          <w:szCs w:val="18"/>
          <w:color w:val="auto"/>
        </w:rPr>
      </w:pPr>
    </w:p>
    <w:p>
      <w:pPr>
        <w:ind w:firstLine="1428"/>
        <w:spacing w:after="0" w:line="253" w:lineRule="auto"/>
        <w:tabs>
          <w:tab w:leader="none" w:pos="169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Anomaly Board Representative shall be entitled to indemnification by the Company to the maximum extent permitted by applicable law and the Company’s governing documents and shall enter into the Company’s standard form of indemnification agreement with its executive officers and directors, as may be amended from time to time, on terms at least as favorable to the Anomaly Board Representative as those then provided by the Company to any other member of the board of directors. The Company hereby acknowledges that the Anomaly Board Representative may have certain rights to indemnification, advancement of expenses and/or insurance provided by Anomaly or certain of its affiliates (collectively, the “</w:t>
      </w:r>
      <w:r>
        <w:rPr>
          <w:rFonts w:ascii="Times New Roman" w:cs="Times New Roman" w:eastAsia="Times New Roman" w:hAnsi="Times New Roman"/>
          <w:sz w:val="18"/>
          <w:szCs w:val="18"/>
          <w:u w:val="single" w:color="auto"/>
          <w:color w:val="auto"/>
        </w:rPr>
        <w:t>Anomaly Indemnitors</w:t>
      </w:r>
      <w:r>
        <w:rPr>
          <w:rFonts w:ascii="Times New Roman" w:cs="Times New Roman" w:eastAsia="Times New Roman" w:hAnsi="Times New Roman"/>
          <w:sz w:val="18"/>
          <w:szCs w:val="18"/>
          <w:color w:val="auto"/>
        </w:rPr>
        <w:t>”), and agrees that the liability of the Company in respect of its obligations to the Anomaly Board Representative in respect of indemnification, expense advancement, amounts paid in compromise or settlement, and the other obligations of the Company pursuant to such indemnification agreement or similar or related obligation of the Company shall be primary, without regard to any advancement or payment by any Anomaly Indemnitor on behalf of any Anomaly Board Representative. Without limitation by any of the foregoing, the Company hereby irrevocably waives, relinquishes and releases the Anomaly</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0"/>
          </w:cols>
          <w:pgMar w:left="440" w:top="270" w:right="479" w:bottom="1440" w:gutter="0" w:footer="0" w:header="0"/>
        </w:sectPr>
      </w:pPr>
    </w:p>
    <w:bookmarkStart w:id="45" w:name="page46"/>
    <w:bookmarkEnd w:id="45"/>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Indemnitors from any and all claims against any of them for contribution, subrogation or any other recovery of any kind in respect of any Company obligation to the Anomaly Board Representative under any indemnification agreement or similar or related obligation of the Company. In no case shall the terms of any agreement with the Company entered into by the Anomaly Board Representative be deemed to terminate, amend, modify or replace the terms of this Section 5.2(c)(ii) unless the Anomaly Board Representative explicitly consents to such termination, amendment, modification or replacement by specific reference to this Section 5.2(c)(ii). The Company agrees that the Anomaly Indemnitors are express third party beneficiaries of the terms of this Section 5.2(c)(ii).</w:t>
      </w:r>
    </w:p>
    <w:p>
      <w:pPr>
        <w:spacing w:after="0" w:line="187" w:lineRule="exact"/>
        <w:rPr>
          <w:sz w:val="20"/>
          <w:szCs w:val="20"/>
          <w:color w:val="auto"/>
        </w:rPr>
      </w:pPr>
    </w:p>
    <w:p>
      <w:pPr>
        <w:ind w:left="1240" w:hanging="253"/>
        <w:spacing w:after="0"/>
        <w:tabs>
          <w:tab w:leader="none" w:pos="12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Disqualification; Vacancy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00" w:firstLine="1428"/>
        <w:spacing w:after="0" w:line="258" w:lineRule="auto"/>
        <w:tabs>
          <w:tab w:leader="none" w:pos="164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as long as Anomaly holds the right to designate a member of the Board of Directors pursuant to this Section 5.2, in the event that a vacancy is created at any time by the death, disability, retirement, resignation (including due to the operation of Section 5.2(d)(ii)) or removal of the Anomaly Board Representative, then Anomaly may designate another individual reasonably satisfactory to the Company to serve as the Anomaly Board Representative, subject to the applicable rules and regulations of the Trading Market and the Company hereby agrees to take, at any time and from time to time, all actions necessary to accomplish the same.</w:t>
      </w:r>
    </w:p>
    <w:p>
      <w:pPr>
        <w:spacing w:after="0" w:line="183" w:lineRule="exact"/>
        <w:rPr>
          <w:rFonts w:ascii="Times New Roman" w:cs="Times New Roman" w:eastAsia="Times New Roman" w:hAnsi="Times New Roman"/>
          <w:sz w:val="18"/>
          <w:szCs w:val="18"/>
          <w:color w:val="auto"/>
        </w:rPr>
      </w:pPr>
    </w:p>
    <w:p>
      <w:pPr>
        <w:ind w:firstLine="1428"/>
        <w:spacing w:after="0" w:line="258" w:lineRule="auto"/>
        <w:tabs>
          <w:tab w:leader="none" w:pos="169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reasonably determines that the Anomaly Board Representative is subject to any Disqualification Event, as evidenced by the written advice of legal counsel of national or international standing, then such Anomaly Board Representative shall immediately tender their resignation from the Board of Directors. No such disqualification of the serving Anomaly Board Representative shall limit Anomaly’s rights under this Section 5.2. Anomaly shall represent to the Company that the initial Anomaly Board Representative to be elected or appointed to the Board pursuant to Section 5.2(a) is not subject to a Disqualification Event.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right="80" w:firstLine="440"/>
        <w:spacing w:after="0" w:line="230"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198"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provided, however, that the Company shall pay the fees and expenses of Gibson, Dunn &amp; Crutcher, LLP, counsel to Samsara, not to exceed $75,000, and the Company shall pay the fees and expenses of Covington &amp; Burling LLP, counsel to RA Capital Healthcare Fund, L.P., not to exceed $35,000.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46" w:name="page47"/>
    <w:bookmarkEnd w:id="46"/>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76" w:lineRule="exact"/>
        <w:rPr>
          <w:sz w:val="20"/>
          <w:szCs w:val="20"/>
          <w:color w:val="auto"/>
        </w:rPr>
      </w:pPr>
    </w:p>
    <w:p>
      <w:pPr>
        <w:ind w:right="20" w:firstLine="440"/>
        <w:spacing w:after="0" w:line="239"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20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50.1% in interest of the Shares and Pre-Funded Warrants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multiple Purchasers), the consent of such disproportionately impacted Purchaser (or at least 50.1% in interest of such disproportionately impacted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amendment effected in accordance with this Section 6.5 shall be binding upon each Purchaser and holder of Securities and the Company.</w:t>
      </w:r>
    </w:p>
    <w:p>
      <w:pPr>
        <w:spacing w:after="0" w:line="188"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47" w:name="page48"/>
    <w:bookmarkEnd w:id="47"/>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Placement Agents shall be the third party beneficiaries of the representations, warranties, and covenants of the Company in this Agreement and the representations, warranties, and covenants of the Purchasers in this Agreement. This Agreement is intended for the benefit of the parties hereto and their respective successors and permitted assigns and is not for the benefit of, nor may any provision hereof be enforced by, any other Person, except as otherwise set forth in Section 4.7 and this Section 6.8.</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4.7,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(including any electronic signature covered by the U.S. federal ESIGN Act of 2000, Uniform Electronic Transactions Act, the Electronic Signatures and Records Act or other applicable law, e.g., www.docusign.com) or other transmission method,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20"/>
          </w:cols>
          <w:pgMar w:left="440" w:top="270" w:right="439" w:bottom="1440" w:gutter="0" w:footer="0" w:header="0"/>
        </w:sectPr>
      </w:pPr>
    </w:p>
    <w:bookmarkStart w:id="48" w:name="page49"/>
    <w:bookmarkEnd w:id="48"/>
    <w:p>
      <w:pPr>
        <w:ind w:right="42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signature shall be deemed to have been duly and validly delivered and shall create a valid and binding obligation of the party executing (or on whose behalf such signature is executed) with the same force and effect as if such signature shall create a valid and binding obligation of the party executing (or on whose behalf such signature is executed) with the same force and effect as if such “.pdf” signature page were an original thereof.</w:t>
      </w:r>
    </w:p>
    <w:p>
      <w:pPr>
        <w:spacing w:after="0" w:line="158"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 w:cs="Times New Roman" w:eastAsia="Times New Roman" w:hAnsi="Times New Roman"/>
          <w:sz w:val="18"/>
          <w:szCs w:val="18"/>
          <w:u w:val="single" w:color="auto"/>
          <w:color w:val="auto"/>
        </w:rPr>
        <w:t>unless such rescission or</w:t>
      </w:r>
      <w:r>
        <w:rPr>
          <w:rFonts w:ascii="Times New Roman" w:cs="Times New Roman" w:eastAsia="Times New Roman" w:hAnsi="Times New Roman"/>
          <w:sz w:val="18"/>
          <w:szCs w:val="18"/>
          <w:color w:val="auto"/>
        </w:rPr>
        <w:t xml:space="preserve"> withdrawal would materially prejudice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spacing w:after="0" w:line="18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3" w:lineRule="exact"/>
        <w:rPr>
          <w:sz w:val="20"/>
          <w:szCs w:val="20"/>
          <w:color w:val="auto"/>
        </w:rPr>
      </w:pPr>
    </w:p>
    <w:p>
      <w:pPr>
        <w:jc w:val="both"/>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49" w:name="page50"/>
    <w:bookmarkEnd w:id="49"/>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9" w:lineRule="exact"/>
        <w:rPr>
          <w:sz w:val="20"/>
          <w:szCs w:val="20"/>
          <w:color w:val="auto"/>
        </w:rPr>
      </w:pPr>
    </w:p>
    <w:p>
      <w:pPr>
        <w:ind w:right="80" w:firstLine="440"/>
        <w:spacing w:after="0" w:line="252" w:lineRule="auto"/>
        <w:rPr>
          <w:sz w:val="20"/>
          <w:szCs w:val="20"/>
          <w:color w:val="auto"/>
        </w:rPr>
      </w:pPr>
      <w:r>
        <w:rPr>
          <w:rFonts w:ascii="Times New Roman" w:cs="Times New Roman" w:eastAsia="Times New Roman" w:hAnsi="Times New Roman"/>
          <w:sz w:val="18"/>
          <w:szCs w:val="18"/>
          <w:color w:val="auto"/>
        </w:rPr>
        <w:t xml:space="preserve">6.17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certain Purchasers and their respective counsel have chosen to communicate with the Company through EGS. EGS does not represent any of the Purchasers and only represents the Placement Agents.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97"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6.18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6.19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0"/>
          </w:cols>
          <w:pgMar w:left="440" w:top="270" w:right="439" w:bottom="1440" w:gutter="0" w:footer="0" w:header="0"/>
        </w:sectPr>
      </w:pPr>
    </w:p>
    <w:bookmarkStart w:id="50" w:name="page51"/>
    <w:bookmarkEnd w:id="50"/>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6.20 </w:t>
      </w:r>
      <w:r>
        <w:rPr>
          <w:rFonts w:ascii="Times New Roman" w:cs="Times New Roman" w:eastAsia="Times New Roman" w:hAnsi="Times New Roman"/>
          <w:sz w:val="17"/>
          <w:szCs w:val="17"/>
          <w:b w:val="1"/>
          <w:bCs w:val="1"/>
          <w:u w:val="single" w:color="auto"/>
          <w:color w:val="auto"/>
        </w:rPr>
        <w:t>WAIVER OF JURY TRIAL</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IN ANY ACTION, SUIT, OR PROCEEDING IN ANY JURISDICTION BROUGHT BY ANY PARTY</w:t>
      </w:r>
    </w:p>
    <w:p>
      <w:pPr>
        <w:spacing w:after="0" w:line="43"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40"/>
          </w:cols>
          <w:pgMar w:left="440" w:top="266" w:right="519" w:bottom="1440" w:gutter="0" w:footer="0" w:header="0"/>
        </w:sectPr>
      </w:pPr>
    </w:p>
    <w:bookmarkStart w:id="51" w:name="page52"/>
    <w:bookmarkEnd w:id="51"/>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Securities Purchase Agreement to be duly executed by their respective authorized signatories as of the date first indicated above.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tc>
        <w:tc>
          <w:tcPr>
            <w:tcW w:w="780" w:type="dxa"/>
            <w:vAlign w:val="bottom"/>
          </w:tcPr>
          <w:p>
            <w:pPr>
              <w:spacing w:after="0"/>
              <w:rPr>
                <w:sz w:val="17"/>
                <w:szCs w:val="17"/>
                <w:color w:val="auto"/>
              </w:rPr>
            </w:pP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Address for Notice:</w:t>
            </w:r>
          </w:p>
        </w:tc>
      </w:tr>
      <w:tr>
        <w:trPr>
          <w:trHeight w:val="453"/>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78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r>
      <w:tr>
        <w:trPr>
          <w:trHeight w:val="191"/>
        </w:trPr>
        <w:tc>
          <w:tcPr>
            <w:tcW w:w="320" w:type="dxa"/>
            <w:vAlign w:val="bottom"/>
          </w:tcPr>
          <w:p>
            <w:pPr>
              <w:spacing w:after="0"/>
              <w:rPr>
                <w:sz w:val="16"/>
                <w:szCs w:val="16"/>
                <w:color w:val="auto"/>
              </w:rPr>
            </w:pPr>
          </w:p>
        </w:tc>
        <w:tc>
          <w:tcPr>
            <w:tcW w:w="496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7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4"/>
        </w:trPr>
        <w:tc>
          <w:tcPr>
            <w:tcW w:w="32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7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2"/>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tc>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19"/>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Cooley LLP</w:t>
            </w:r>
          </w:p>
        </w:tc>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3175 Hanover Street</w:t>
            </w:r>
          </w:p>
        </w:tc>
        <w:tc>
          <w:tcPr>
            <w:tcW w:w="7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Palo Alto, CA 94304-1130</w:t>
            </w:r>
          </w:p>
        </w:tc>
        <w:tc>
          <w:tcPr>
            <w:tcW w:w="7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Attention: Josh Seidenfeld</w:t>
            </w:r>
          </w:p>
        </w:tc>
        <w:tc>
          <w:tcPr>
            <w:tcW w:w="78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1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[SIGNATURE PAGE TO RANI SECURITIES PURCHASE AGREEMENT]</w:t>
      </w:r>
    </w:p>
    <w:p>
      <w:pPr>
        <w:spacing w:after="0" w:line="15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580"/>
          </w:cols>
          <w:pgMar w:left="440" w:top="270" w:right="879" w:bottom="1440" w:gutter="0" w:footer="0" w:header="0"/>
        </w:sectPr>
      </w:pPr>
    </w:p>
    <w:bookmarkStart w:id="52" w:name="page53"/>
    <w:bookmarkEnd w:id="52"/>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Securities Purchase Agreement to be duly executed by their respective authorized signatories as of the date first indicated above.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6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3"/>
              </w:rPr>
              <w:t>Name of Purchaser: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40" w:type="dxa"/>
            <w:vAlign w:val="bottom"/>
          </w:tcPr>
          <w:p>
            <w:pPr>
              <w:spacing w:after="0"/>
              <w:rPr>
                <w:sz w:val="17"/>
                <w:szCs w:val="17"/>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Pr>
          <w:p>
            <w:pPr>
              <w:spacing w:after="0"/>
              <w:rPr>
                <w:sz w:val="17"/>
                <w:szCs w:val="17"/>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1460" w:type="dxa"/>
            <w:vAlign w:val="bottom"/>
            <w:gridSpan w:val="5"/>
          </w:tcPr>
          <w:p>
            <w:pPr>
              <w:spacing w:after="0" w:line="20" w:lineRule="exact"/>
              <w:rPr>
                <w:sz w:val="1"/>
                <w:szCs w:val="1"/>
                <w:color w:val="auto"/>
              </w:rPr>
            </w:pPr>
          </w:p>
        </w:tc>
        <w:tc>
          <w:tcPr>
            <w:tcW w:w="2120" w:type="dxa"/>
            <w:vAlign w:val="bottom"/>
            <w:tcBorders>
              <w:right w:val="single" w:sz="8" w:color="auto"/>
            </w:tcBorders>
            <w:gridSpan w:val="1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3580" w:type="dxa"/>
            <w:vAlign w:val="bottom"/>
            <w:gridSpan w:val="17"/>
          </w:tcPr>
          <w:p>
            <w:pPr>
              <w:spacing w:after="0"/>
              <w:rPr>
                <w:sz w:val="20"/>
                <w:szCs w:val="20"/>
                <w:color w:val="auto"/>
              </w:rPr>
            </w:pPr>
            <w:r>
              <w:rPr>
                <w:rFonts w:ascii="Times New Roman" w:cs="Times New Roman" w:eastAsia="Times New Roman" w:hAnsi="Times New Roman"/>
                <w:sz w:val="18"/>
                <w:szCs w:val="18"/>
                <w:i w:val="1"/>
                <w:iCs w:val="1"/>
                <w:color w:val="auto"/>
                <w:w w:val="95"/>
              </w:rPr>
              <w:t>Signature of Authorized Signatory of Purchaser</w:t>
            </w:r>
            <w:r>
              <w:rPr>
                <w:rFonts w:ascii="Times New Roman" w:cs="Times New Roman" w:eastAsia="Times New Roman" w:hAnsi="Times New Roman"/>
                <w:sz w:val="18"/>
                <w:szCs w:val="18"/>
                <w:color w:val="auto"/>
                <w:w w:val="95"/>
              </w:rPr>
              <w:t>:  </w:t>
            </w:r>
          </w:p>
        </w:tc>
        <w:tc>
          <w:tcPr>
            <w:tcW w:w="100" w:type="dxa"/>
            <w:vAlign w:val="bottom"/>
          </w:tcPr>
          <w:p>
            <w:pPr>
              <w:spacing w:after="0"/>
              <w:rPr>
                <w:sz w:val="24"/>
                <w:szCs w:val="24"/>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20" w:type="dxa"/>
            <w:vAlign w:val="bottom"/>
          </w:tcPr>
          <w:p>
            <w:pPr>
              <w:spacing w:after="0"/>
              <w:rPr>
                <w:sz w:val="24"/>
                <w:szCs w:val="24"/>
                <w:color w:val="auto"/>
              </w:rPr>
            </w:pPr>
          </w:p>
        </w:tc>
        <w:tc>
          <w:tcPr>
            <w:tcW w:w="180" w:type="dxa"/>
            <w:vAlign w:val="bottom"/>
          </w:tcPr>
          <w:p>
            <w:pPr>
              <w:jc w:val="center"/>
              <w:ind w:right="66"/>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jc w:val="center"/>
              <w:ind w:right="66"/>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2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20" w:type="dxa"/>
            <w:vAlign w:val="bottom"/>
          </w:tcPr>
          <w:p>
            <w:pPr>
              <w:spacing w:after="0"/>
              <w:rPr>
                <w:sz w:val="24"/>
                <w:szCs w:val="24"/>
                <w:color w:val="auto"/>
              </w:rPr>
            </w:pPr>
          </w:p>
        </w:tc>
        <w:tc>
          <w:tcPr>
            <w:tcW w:w="180" w:type="dxa"/>
            <w:vAlign w:val="bottom"/>
          </w:tcPr>
          <w:p>
            <w:pPr>
              <w:jc w:val="center"/>
              <w:ind w:right="66"/>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2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jc w:val="center"/>
              <w:ind w:right="66"/>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7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2460" w:type="dxa"/>
            <w:vAlign w:val="bottom"/>
            <w:gridSpan w:val="11"/>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2460" w:type="dxa"/>
            <w:vAlign w:val="bottom"/>
            <w:gridSpan w:val="11"/>
          </w:tcPr>
          <w:p>
            <w:pPr>
              <w:spacing w:after="0"/>
              <w:rPr>
                <w:sz w:val="20"/>
                <w:szCs w:val="20"/>
                <w:color w:val="auto"/>
              </w:rPr>
            </w:pPr>
            <w:r>
              <w:rPr>
                <w:rFonts w:ascii="Times New Roman" w:cs="Times New Roman" w:eastAsia="Times New Roman" w:hAnsi="Times New Roman"/>
                <w:sz w:val="18"/>
                <w:szCs w:val="18"/>
                <w:color w:val="auto"/>
                <w:w w:val="97"/>
              </w:rPr>
              <w:t>Name of Authorized Signatory: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434"/>
        </w:trPr>
        <w:tc>
          <w:tcPr>
            <w:tcW w:w="23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Title of Authorized Signatory:</w:t>
            </w: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r>
      <w:tr>
        <w:trPr>
          <w:trHeight w:val="194"/>
        </w:trPr>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920" w:type="dxa"/>
            <w:vAlign w:val="bottom"/>
            <w:tcBorders>
              <w:bottom w:val="single" w:sz="8" w:color="auto"/>
            </w:tcBorders>
            <w:gridSpan w:val="2"/>
          </w:tcPr>
          <w:p>
            <w:pPr>
              <w:ind w:left="80"/>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Borders>
              <w:bottom w:val="single" w:sz="8" w:color="auto"/>
            </w:tcBorders>
          </w:tcPr>
          <w:p>
            <w:pPr>
              <w:ind w:left="60"/>
              <w:spacing w:after="0" w:line="194" w:lineRule="exact"/>
              <w:rPr>
                <w:sz w:val="20"/>
                <w:szCs w:val="20"/>
                <w:color w:val="auto"/>
              </w:rPr>
            </w:pPr>
            <w:r>
              <w:rPr>
                <w:rFonts w:ascii="Times New Roman" w:cs="Times New Roman" w:eastAsia="Times New Roman" w:hAnsi="Times New Roman"/>
                <w:sz w:val="18"/>
                <w:szCs w:val="18"/>
                <w:color w:val="auto"/>
                <w:w w:val="77"/>
              </w:rPr>
              <w:t> </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gridSpan w:val="2"/>
          </w:tcPr>
          <w:p>
            <w:pPr>
              <w:ind w:left="60"/>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20" w:type="dxa"/>
            <w:vAlign w:val="bottom"/>
            <w:tcBorders>
              <w:bottom w:val="single" w:sz="8" w:color="auto"/>
            </w:tcBorders>
            <w:gridSpan w:val="2"/>
          </w:tcPr>
          <w:p>
            <w:pPr>
              <w:ind w:left="60"/>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bottom w:val="single" w:sz="8" w:color="auto"/>
            </w:tcBorders>
          </w:tcPr>
          <w:p>
            <w:pPr>
              <w:ind w:left="4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bottom w:val="single" w:sz="8" w:color="auto"/>
            </w:tcBorders>
          </w:tcPr>
          <w:p>
            <w:pPr>
              <w:ind w:left="4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300" w:type="dxa"/>
            <w:vAlign w:val="bottom"/>
            <w:tcBorders>
              <w:bottom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360" w:type="dxa"/>
            <w:vAlign w:val="bottom"/>
            <w:tcBorders>
              <w:bottom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bottom w:val="single" w:sz="8" w:color="auto"/>
            </w:tcBorders>
          </w:tcPr>
          <w:p>
            <w:pPr>
              <w:ind w:left="4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bottom w:val="single" w:sz="8" w:color="auto"/>
            </w:tcBorders>
          </w:tcPr>
          <w:p>
            <w:pPr>
              <w:ind w:left="4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bottom w:val="single" w:sz="8" w:color="auto"/>
            </w:tcBorders>
          </w:tcPr>
          <w:p>
            <w:pPr>
              <w:ind w:left="4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300" w:type="dxa"/>
            <w:vAlign w:val="bottom"/>
            <w:tcBorders>
              <w:bottom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bottom w:val="single" w:sz="8" w:color="auto"/>
            </w:tcBorders>
          </w:tcPr>
          <w:p>
            <w:pPr>
              <w:ind w:left="4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bottom w:val="single" w:sz="8" w:color="auto"/>
            </w:tcBorders>
          </w:tcPr>
          <w:p>
            <w:pPr>
              <w:ind w:left="4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bottom w:val="single" w:sz="8" w:color="auto"/>
            </w:tcBorders>
          </w:tcPr>
          <w:p>
            <w:pPr>
              <w:ind w:left="4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gridSpan w:val="2"/>
          </w:tcPr>
          <w:p>
            <w:pPr>
              <w:jc w:val="center"/>
              <w:ind w:right="6"/>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434"/>
        </w:trPr>
        <w:tc>
          <w:tcPr>
            <w:tcW w:w="30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Email Address of Authorized Signatory:</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94"/>
        </w:trPr>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920" w:type="dxa"/>
            <w:vAlign w:val="bottom"/>
            <w:tcBorders>
              <w:bottom w:val="single" w:sz="8" w:color="auto"/>
            </w:tcBorders>
            <w:gridSpan w:val="2"/>
          </w:tcPr>
          <w:p>
            <w:pPr>
              <w:ind w:left="80"/>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Borders>
              <w:bottom w:val="single" w:sz="8" w:color="auto"/>
            </w:tcBorders>
          </w:tcPr>
          <w:p>
            <w:pPr>
              <w:ind w:left="60"/>
              <w:spacing w:after="0" w:line="194" w:lineRule="exact"/>
              <w:rPr>
                <w:sz w:val="20"/>
                <w:szCs w:val="20"/>
                <w:color w:val="auto"/>
              </w:rPr>
            </w:pPr>
            <w:r>
              <w:rPr>
                <w:rFonts w:ascii="Times New Roman" w:cs="Times New Roman" w:eastAsia="Times New Roman" w:hAnsi="Times New Roman"/>
                <w:sz w:val="18"/>
                <w:szCs w:val="18"/>
                <w:color w:val="auto"/>
                <w:w w:val="77"/>
              </w:rPr>
              <w:t> </w:t>
            </w: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gridSpan w:val="2"/>
          </w:tcPr>
          <w:p>
            <w:pPr>
              <w:ind w:left="60"/>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20" w:type="dxa"/>
            <w:vAlign w:val="bottom"/>
            <w:tcBorders>
              <w:bottom w:val="single" w:sz="8" w:color="auto"/>
            </w:tcBorders>
            <w:gridSpan w:val="2"/>
          </w:tcPr>
          <w:p>
            <w:pPr>
              <w:ind w:left="60"/>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bottom w:val="single" w:sz="8" w:color="auto"/>
            </w:tcBorders>
          </w:tcPr>
          <w:p>
            <w:pPr>
              <w:ind w:left="4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bottom w:val="single" w:sz="8" w:color="auto"/>
            </w:tcBorders>
          </w:tcPr>
          <w:p>
            <w:pPr>
              <w:ind w:left="4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300" w:type="dxa"/>
            <w:vAlign w:val="bottom"/>
            <w:tcBorders>
              <w:bottom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360" w:type="dxa"/>
            <w:vAlign w:val="bottom"/>
            <w:tcBorders>
              <w:bottom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bottom w:val="single" w:sz="8" w:color="auto"/>
            </w:tcBorders>
          </w:tcPr>
          <w:p>
            <w:pPr>
              <w:ind w:left="4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bottom w:val="single" w:sz="8" w:color="auto"/>
            </w:tcBorders>
          </w:tcPr>
          <w:p>
            <w:pPr>
              <w:ind w:left="4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bottom w:val="single" w:sz="8" w:color="auto"/>
            </w:tcBorders>
          </w:tcPr>
          <w:p>
            <w:pPr>
              <w:ind w:left="4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300" w:type="dxa"/>
            <w:vAlign w:val="bottom"/>
            <w:tcBorders>
              <w:bottom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bottom w:val="single" w:sz="8" w:color="auto"/>
            </w:tcBorders>
          </w:tcPr>
          <w:p>
            <w:pPr>
              <w:ind w:left="4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Borders>
              <w:bottom w:val="single" w:sz="8" w:color="auto"/>
            </w:tcBorders>
          </w:tcPr>
          <w:p>
            <w:pPr>
              <w:ind w:left="4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bottom w:val="single" w:sz="8" w:color="auto"/>
            </w:tcBorders>
          </w:tcPr>
          <w:p>
            <w:pPr>
              <w:ind w:left="40"/>
              <w:spacing w:after="0" w:line="194" w:lineRule="exact"/>
              <w:rPr>
                <w:sz w:val="20"/>
                <w:szCs w:val="20"/>
                <w:color w:val="auto"/>
              </w:rPr>
            </w:pPr>
            <w:r>
              <w:rPr>
                <w:rFonts w:ascii="Times New Roman" w:cs="Times New Roman" w:eastAsia="Times New Roman" w:hAnsi="Times New Roman"/>
                <w:sz w:val="17"/>
                <w:szCs w:val="17"/>
                <w:color w:val="auto"/>
                <w:w w:val="70"/>
              </w:rPr>
              <w:t> </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Addresses for Notices: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to Purchaser (if not same as address for notice):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w:t>
      </w: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[SIGNATURE PAGE TO RANI SECURITIES PURCHASE AGREEMENT]</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820"/>
          </w:cols>
          <w:pgMar w:left="440" w:top="270" w:right="639" w:bottom="1440" w:gutter="0" w:footer="0" w:header="0"/>
        </w:sectPr>
      </w:pPr>
    </w:p>
    <w:bookmarkStart w:id="53" w:name="page54"/>
    <w:bookmarkEnd w:id="53"/>
    <w:p>
      <w:pPr>
        <w:jc w:val="center"/>
        <w:ind w:righ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7" w:lineRule="exact"/>
        <w:rPr>
          <w:sz w:val="20"/>
          <w:szCs w:val="20"/>
          <w:color w:val="auto"/>
        </w:rPr>
      </w:pPr>
    </w:p>
    <w:p>
      <w:pPr>
        <w:jc w:val="center"/>
        <w:ind w:right="-984"/>
        <w:spacing w:after="0"/>
        <w:rPr>
          <w:sz w:val="20"/>
          <w:szCs w:val="20"/>
          <w:color w:val="auto"/>
        </w:rPr>
      </w:pPr>
      <w:r>
        <w:rPr>
          <w:rFonts w:ascii="Times New Roman" w:cs="Times New Roman" w:eastAsia="Times New Roman" w:hAnsi="Times New Roman"/>
          <w:sz w:val="17"/>
          <w:szCs w:val="17"/>
          <w:color w:val="auto"/>
        </w:rPr>
        <w:t>PURCHASER PRICING INFORMATION</w:t>
      </w:r>
    </w:p>
    <w:p>
      <w:pPr>
        <w:spacing w:after="0" w:line="21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Purchaser: ________________________________________________________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Subscription Amount: $_________________</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Shares: _________________</w:t>
      </w:r>
    </w:p>
    <w:p>
      <w:pPr>
        <w:spacing w:after="0" w:line="184" w:lineRule="exact"/>
        <w:rPr>
          <w:sz w:val="20"/>
          <w:szCs w:val="20"/>
          <w:color w:val="auto"/>
        </w:rPr>
      </w:pPr>
    </w:p>
    <w:p>
      <w:pPr>
        <w:ind w:left="4"/>
        <w:spacing w:after="0" w:line="288" w:lineRule="exact"/>
        <w:rPr>
          <w:sz w:val="20"/>
          <w:szCs w:val="20"/>
          <w:color w:val="auto"/>
        </w:rPr>
      </w:pPr>
      <w:r>
        <w:rPr>
          <w:rFonts w:ascii="Times New Roman" w:cs="Times New Roman" w:eastAsia="Times New Roman" w:hAnsi="Times New Roman"/>
          <w:sz w:val="17"/>
          <w:szCs w:val="17"/>
          <w:color w:val="auto"/>
        </w:rPr>
        <w:t>Pre-Funded Warrants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xml:space="preserve">: ______________ Beneficial Ownership Blocker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4.99% or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9.99%</w:t>
      </w:r>
    </w:p>
    <w:p>
      <w:pPr>
        <w:spacing w:after="0" w:line="145"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Common Warrants: ______________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Price Per Share: </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Price Per Pre-Funded Warrant: </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7715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24" w:right="3959" w:hanging="5424"/>
        <w:spacing w:after="0"/>
        <w:tabs>
          <w:tab w:leader="none" w:pos="438" w:val="left"/>
        </w:tabs>
        <w:numPr>
          <w:ilvl w:val="0"/>
          <w:numId w:val="4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The Price Per Pre-Funded Warrant is equal to the Price Per Share less $0.0001 49</w:t>
      </w:r>
    </w:p>
    <w:p>
      <w:pPr>
        <w:sectPr>
          <w:pgSz w:w="11900" w:h="16838" w:orient="portrait"/>
          <w:cols w:equalWidth="0" w:num="1">
            <w:col w:w="10023"/>
          </w:cols>
          <w:pgMar w:left="436" w:top="270" w:right="1440"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Registration Rights Agreement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9019"/>
          </w:cols>
          <w:pgMar w:left="1440" w:top="270" w:right="1440"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Pre-Funded Warrant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9019"/>
          </w:cols>
          <w:pgMar w:left="1440" w:top="270" w:right="1440"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Common Warrant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9019"/>
          </w:cols>
          <w:pgMar w:left="1440" w:top="270" w:right="1440"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Lock-Up Agreement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9019"/>
          </w:cols>
          <w:pgMar w:left="1440" w:top="270" w:right="1440"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October 16, 2025, between Rani Therapeutics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several purchasers signatory hereto (each such purchaser,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This Agreement is made pursuant to the Securities Purchase Agreement, dated as of the date hereof, between the Company and each Purchaser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and each Purchaser hereby agree as follows:</w:t>
      </w:r>
    </w:p>
    <w:p>
      <w:pPr>
        <w:spacing w:after="0" w:line="225" w:lineRule="exact"/>
        <w:rPr>
          <w:sz w:val="20"/>
          <w:szCs w:val="20"/>
          <w:color w:val="auto"/>
        </w:rPr>
      </w:pPr>
    </w:p>
    <w:p>
      <w:pPr>
        <w:ind w:left="620" w:hanging="184"/>
        <w:spacing w:after="0"/>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4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Capitalized terms used and not otherwise defined herein that are defined in the Purchase Agreement shall have the meanings given such terms in the Purchase Agreement. </w:t>
      </w:r>
      <w:r>
        <w:rPr>
          <w:rFonts w:ascii="Times New Roman" w:cs="Times New Roman" w:eastAsia="Times New Roman" w:hAnsi="Times New Roman"/>
          <w:sz w:val="18"/>
          <w:szCs w:val="18"/>
          <w:color w:val="auto"/>
        </w:rPr>
        <w:t>As used in this Agreement, the following terms shall have the following meanings:</w:t>
      </w:r>
    </w:p>
    <w:p>
      <w:pPr>
        <w:spacing w:after="0" w:line="5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shall have the meaning set forth in Section 6(c).</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means, with respect to the Initial Registration Statement required to be filed hereunder, the forty-fifth</w:t>
      </w:r>
    </w:p>
    <w:p>
      <w:pPr>
        <w:spacing w:after="0" w:line="27" w:lineRule="exact"/>
        <w:rPr>
          <w:sz w:val="20"/>
          <w:szCs w:val="20"/>
          <w:color w:val="auto"/>
        </w:rPr>
      </w:pPr>
    </w:p>
    <w:p>
      <w:pPr>
        <w:ind w:left="980" w:right="20" w:firstLine="7"/>
        <w:spacing w:after="0" w:line="251" w:lineRule="auto"/>
        <w:tabs>
          <w:tab w:leader="none" w:pos="132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calendar day following the Closing Date (or, in the event of a “full review” by the Commission, the ninetieth (90) calendar day following the Closing Date) and with respect to any additional Registration Statements which may be required pursuant to Section 2(c) or Section 3(c), the thirtieth (30) calendar day following the date on which an additional Registration Statement is required to be filed hereunder (or, in the event of a “full review” by the Commission, the sixtieth (60) calendar day following the date such additional Registration Statement is required to be filed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Company is notified by the Commission that one or more of the above Registration Statements will not be reviewed or is no longer subject to further review and comments, the Effectiveness Date as to such Registration Statement shall be the fifth Trading Day following the date on which the Company is so notified in writing if such date precedes the dates otherwise required above, provided, further, if such Effectiveness Date falls on a day that is not a Trading Day, then the Effectiveness Date shall be the next succeeding Trading Day. Notwithstanding anything to the contrary set forth herein, if the U.S. federal government is “shutdown” due to a budget impasse on any day following the filing of the Initial Registration Statement or any additional Registration Statement, the “Effectiveness Date” deadlines set forth herein shall be automatically extended for each day of such “shutdown” after such filing.</w:t>
      </w:r>
    </w:p>
    <w:p>
      <w:pPr>
        <w:sectPr>
          <w:pgSz w:w="11900" w:h="16838" w:orient="portrait"/>
          <w:cols w:equalWidth="0" w:num="1">
            <w:col w:w="11020"/>
          </w:cols>
          <w:pgMar w:left="440" w:top="117" w:right="439" w:bottom="1440" w:gutter="0" w:footer="0" w:header="0"/>
        </w:sectPr>
      </w:pPr>
    </w:p>
    <w:bookmarkStart w:id="59" w:name="page60"/>
    <w:bookmarkEnd w:id="59"/>
    <w:p>
      <w:pPr>
        <w:ind w:left="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shall have the meaning set forth in Section 2(a).</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shall have the meaning set forth in Section 2(d).</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Date</w:t>
      </w:r>
      <w:r>
        <w:rPr>
          <w:rFonts w:ascii="Times New Roman" w:cs="Times New Roman" w:eastAsia="Times New Roman" w:hAnsi="Times New Roman"/>
          <w:sz w:val="18"/>
          <w:szCs w:val="18"/>
          <w:color w:val="auto"/>
        </w:rPr>
        <w:t>” shall have the meaning set forth in Section 2(d).</w:t>
      </w:r>
    </w:p>
    <w:p>
      <w:pPr>
        <w:spacing w:after="0" w:line="117" w:lineRule="exact"/>
        <w:rPr>
          <w:sz w:val="20"/>
          <w:szCs w:val="20"/>
          <w:color w:val="auto"/>
        </w:rPr>
      </w:pPr>
    </w:p>
    <w:p>
      <w:pPr>
        <w:ind w:right="140" w:firstLine="40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Filing Date</w:t>
      </w:r>
      <w:r>
        <w:rPr>
          <w:rFonts w:ascii="Times New Roman" w:cs="Times New Roman" w:eastAsia="Times New Roman" w:hAnsi="Times New Roman"/>
          <w:sz w:val="17"/>
          <w:szCs w:val="17"/>
          <w:color w:val="auto"/>
        </w:rPr>
        <w:t>” means, with respect to the Initial Registration Statement required hereunder, the fifteenth (15) calendar day following the Closing Date and, with respect to any additional Registration Statements which may be required pursuant to Section 2(c) or</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Section 3(c), the earliest practical date on which the Company is permitted by SEC Guidance to file such additional Registration Statement related to the Registrable Securities.</w:t>
      </w:r>
    </w:p>
    <w:p>
      <w:pPr>
        <w:spacing w:after="0" w:line="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means the holder or holders, as the case may be, from time to time of Registrable Securities.</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shall have the meaning set forth in Section 5(c).</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shall have the meaning set forth in Section 5(c).</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Registration Statement</w:t>
      </w:r>
      <w:r>
        <w:rPr>
          <w:rFonts w:ascii="Times New Roman" w:cs="Times New Roman" w:eastAsia="Times New Roman" w:hAnsi="Times New Roman"/>
          <w:sz w:val="18"/>
          <w:szCs w:val="18"/>
          <w:color w:val="auto"/>
        </w:rPr>
        <w:t>” means the initial Registration Statement filed pursuant to this Agreement.</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shall have the meaning set forth in Section 5(a).</w:t>
      </w:r>
    </w:p>
    <w:p>
      <w:pPr>
        <w:spacing w:after="0" w:line="1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shall have the meaning set forth in Section 2(a).</w:t>
      </w:r>
    </w:p>
    <w:p>
      <w:pPr>
        <w:spacing w:after="0" w:line="117" w:lineRule="exact"/>
        <w:rPr>
          <w:sz w:val="20"/>
          <w:szCs w:val="20"/>
          <w:color w:val="auto"/>
        </w:rPr>
      </w:pPr>
    </w:p>
    <w:p>
      <w:pPr>
        <w:ind w:firstLine="40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79" w:lineRule="exact"/>
        <w:rPr>
          <w:sz w:val="20"/>
          <w:szCs w:val="20"/>
          <w:color w:val="auto"/>
        </w:rPr>
      </w:pPr>
    </w:p>
    <w:p>
      <w:pPr>
        <w:ind w:right="160" w:firstLine="401"/>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Registrable Securities</w:t>
      </w:r>
      <w:r>
        <w:rPr>
          <w:rFonts w:ascii="Times New Roman" w:cs="Times New Roman" w:eastAsia="Times New Roman" w:hAnsi="Times New Roman"/>
          <w:sz w:val="17"/>
          <w:szCs w:val="17"/>
          <w:color w:val="auto"/>
        </w:rPr>
        <w:t>” means, as of any date of determination, (a) all Shares, (b) all Warrant Shares then issued and issuable upon exercise of the Warrants (assuming on such date the Warrants are exercised in full without regard to any exercise limitations therein) and</w:t>
      </w:r>
    </w:p>
    <w:p>
      <w:pPr>
        <w:spacing w:after="0" w:line="1" w:lineRule="exact"/>
        <w:rPr>
          <w:sz w:val="20"/>
          <w:szCs w:val="20"/>
          <w:color w:val="auto"/>
        </w:rPr>
      </w:pPr>
    </w:p>
    <w:p>
      <w:pPr>
        <w:jc w:val="both"/>
        <w:ind w:right="120" w:firstLine="7"/>
        <w:spacing w:after="0" w:line="255" w:lineRule="auto"/>
        <w:tabs>
          <w:tab w:leader="none" w:pos="24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securities issued or then issuable upon any stock split, dividend or other distribution, recapitalization or similar event with respect to the foregoing;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any such Registrable Securities shall cease to be Registrable Securities (and the Company shall not be required to maintain the effectiveness of any, or file another, Registration Statement hereunder with respect thereto) for so long as</w:t>
      </w:r>
    </w:p>
    <w:p>
      <w:pPr>
        <w:spacing w:after="0" w:line="11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020"/>
          </w:cols>
          <w:pgMar w:left="1420" w:top="270" w:right="459" w:bottom="1440" w:gutter="0" w:footer="0" w:header="0"/>
        </w:sectPr>
      </w:pPr>
    </w:p>
    <w:bookmarkStart w:id="60" w:name="page61"/>
    <w:bookmarkEnd w:id="60"/>
    <w:p>
      <w:pPr>
        <w:ind w:left="544" w:right="120" w:firstLine="7"/>
        <w:spacing w:after="0" w:line="256" w:lineRule="auto"/>
        <w:tabs>
          <w:tab w:leader="none" w:pos="75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Registration Statement with respect to the sale of such Registrable Securities is declared effective by the Commission under the Securities Act and such Registrable Securities have been disposed of by the Holder in accordance with such effective Registration Statement, (ii) such Registrable Securities have been previously sold pursuant to such effective Registration Statement or in accordance with Rule 144, or (iii) such securities become eligible for resale without volume or manner-of-sale restrictions and without current public information pursuant to Rule 144 and in the case of the Pre-Funded Warrant Shares, assuming the cashless exercise of the Pre-Funded Warrants.</w:t>
      </w:r>
    </w:p>
    <w:p>
      <w:pPr>
        <w:spacing w:after="0" w:line="79" w:lineRule="exact"/>
        <w:rPr>
          <w:sz w:val="20"/>
          <w:szCs w:val="20"/>
          <w:color w:val="auto"/>
        </w:rPr>
      </w:pPr>
    </w:p>
    <w:p>
      <w:pPr>
        <w:ind w:left="544" w:right="60" w:firstLine="40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spacing w:after="0" w:line="72" w:lineRule="exact"/>
        <w:rPr>
          <w:sz w:val="20"/>
          <w:szCs w:val="20"/>
          <w:color w:val="auto"/>
        </w:rPr>
      </w:pPr>
    </w:p>
    <w:p>
      <w:pPr>
        <w:ind w:left="544" w:firstLine="40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68" w:lineRule="exact"/>
        <w:rPr>
          <w:sz w:val="20"/>
          <w:szCs w:val="20"/>
          <w:color w:val="auto"/>
        </w:rPr>
      </w:pPr>
    </w:p>
    <w:p>
      <w:pPr>
        <w:ind w:left="544" w:firstLine="40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68" w:lineRule="exact"/>
        <w:rPr>
          <w:sz w:val="20"/>
          <w:szCs w:val="20"/>
          <w:color w:val="auto"/>
        </w:rPr>
      </w:pPr>
    </w:p>
    <w:p>
      <w:pPr>
        <w:ind w:left="9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Stockholder Questionnaire</w:t>
      </w:r>
      <w:r>
        <w:rPr>
          <w:rFonts w:ascii="Times New Roman" w:cs="Times New Roman" w:eastAsia="Times New Roman" w:hAnsi="Times New Roman"/>
          <w:sz w:val="18"/>
          <w:szCs w:val="18"/>
          <w:color w:val="auto"/>
        </w:rPr>
        <w:t>” shall have the meaning set forth in Section 3(a).</w:t>
      </w:r>
    </w:p>
    <w:p>
      <w:pPr>
        <w:spacing w:after="0" w:line="117" w:lineRule="exact"/>
        <w:rPr>
          <w:sz w:val="20"/>
          <w:szCs w:val="20"/>
          <w:color w:val="auto"/>
        </w:rPr>
      </w:pPr>
    </w:p>
    <w:p>
      <w:pPr>
        <w:ind w:left="544" w:right="100" w:firstLine="40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Guidance</w:t>
      </w:r>
      <w:r>
        <w:rPr>
          <w:rFonts w:ascii="Times New Roman" w:cs="Times New Roman" w:eastAsia="Times New Roman" w:hAnsi="Times New Roman"/>
          <w:sz w:val="18"/>
          <w:szCs w:val="18"/>
          <w:color w:val="auto"/>
        </w:rPr>
        <w:t>” means (i) any publicly-available written or oral guidance of the Commission staff, or any comments, requirements or requests of the Commission staff and (ii) the Securities Act.</w:t>
      </w:r>
    </w:p>
    <w:p>
      <w:pPr>
        <w:spacing w:after="0" w:line="162" w:lineRule="exact"/>
        <w:rPr>
          <w:sz w:val="20"/>
          <w:szCs w:val="20"/>
          <w:color w:val="auto"/>
        </w:rPr>
      </w:pPr>
    </w:p>
    <w:p>
      <w:pPr>
        <w:ind w:left="184" w:hanging="184"/>
        <w:spacing w:after="0"/>
        <w:tabs>
          <w:tab w:leader="none" w:pos="18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4" w:right="40" w:firstLine="408"/>
        <w:spacing w:after="0" w:line="258" w:lineRule="auto"/>
        <w:tabs>
          <w:tab w:leader="none" w:pos="118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each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S-3 (except if the Company is not then eligible to register for resale the Registrable Securities on Form S-3, in which case such registration shall be on another appropriate form in accordance herewith, subject to the provisions of Section 2(e)) and shall contain (unless otherwise directed by at least 66.7% in</w:t>
      </w:r>
    </w:p>
    <w:p>
      <w:pPr>
        <w:spacing w:after="0" w:line="116"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44"/>
          </w:cols>
          <w:pgMar w:left="876" w:top="270" w:right="479" w:bottom="1440" w:gutter="0" w:footer="0" w:header="0"/>
        </w:sectPr>
      </w:pPr>
    </w:p>
    <w:bookmarkStart w:id="61" w:name="page62"/>
    <w:bookmarkEnd w:id="6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interest of the Holders) substantially the “</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and substantially the “</w:t>
      </w:r>
      <w:r>
        <w:rPr>
          <w:rFonts w:ascii="Times New Roman" w:cs="Times New Roman" w:eastAsia="Times New Roman" w:hAnsi="Times New Roman"/>
          <w:sz w:val="18"/>
          <w:szCs w:val="18"/>
          <w:u w:val="single" w:color="auto"/>
          <w:color w:val="auto"/>
        </w:rPr>
        <w:t>Selling Stockholder</w:t>
      </w:r>
      <w:r>
        <w:rPr>
          <w:rFonts w:ascii="Times New Roman" w:cs="Times New Roman" w:eastAsia="Times New Roman" w:hAnsi="Times New Roman"/>
          <w:sz w:val="18"/>
          <w:szCs w:val="18"/>
          <w:color w:val="auto"/>
        </w:rPr>
        <w:t xml:space="preserve">” section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Holder shall be required to be named as an “underwriter” without such Holder’s express prior written consent. Subject to the terms of this Agreement, the Company shall use its reasonable best efforts to cause a Registration Statement filed under this Agreement (including, without limitation, under Section 3(c)) to be declared effective under the Securities Act as promptly as possible after the filing thereof, but in any event no later than the applicable Effectiveness Date, and shall use its reasonable best efforts to keep such Registration Statement continuously effective under the Securities Act until the earlier of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in each case, including pursuant to a cashless exercise of the Pre-Funded Warrants (the “</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The Company shall notify the Holders via e-mail of the effectiveness of a Registration Statement on the same Trading Day that the Company telephonically confirms effectiveness with the Commission, which shall be the date requested for effectiveness of such Registration Statement. The Company shall, by 9:30 a.m. (New York City time) on the Trading Day after the effective date of such Registration Statement, file a final Prospectus with the Commission as required by Rule 424.</w:t>
      </w:r>
    </w:p>
    <w:p>
      <w:pPr>
        <w:spacing w:after="0" w:line="79" w:lineRule="exact"/>
        <w:rPr>
          <w:sz w:val="20"/>
          <w:szCs w:val="20"/>
          <w:color w:val="auto"/>
        </w:rPr>
      </w:pPr>
    </w:p>
    <w:p>
      <w:pPr>
        <w:ind w:right="140" w:firstLine="408"/>
        <w:spacing w:after="0" w:line="253" w:lineRule="auto"/>
        <w:tabs>
          <w:tab w:leader="none" w:pos="65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registration obligations set forth in Section 2(a),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commercially reasonable efforts to file amendments to the Initial Registration Statement as required by the Commission, covering the maximum number of Registrable Securities permitted to be registered by the Commission, on Form S-3 or such other form available to register for resale the Registrable Securities as a secondary offering, subject to the provisions of Section 2(e); with respect to filing on Form S-3 or other appropriate form, and subject to the provisions of Section 2(d) with respect to the payment of liquidated damages;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filing such amendment, the Company shall be obligated to use diligent efforts to advocate with the Commission for the registration of all of the Registrable Securities in accordance with the SEC Guidance, including without limitation, Compliance and Disclosure Interpretation 612.09.</w:t>
      </w:r>
    </w:p>
    <w:p>
      <w:pPr>
        <w:spacing w:after="0" w:line="12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040"/>
          </w:cols>
          <w:pgMar w:left="1420" w:top="270" w:right="439" w:bottom="1440" w:gutter="0" w:footer="0" w:header="0"/>
        </w:sectPr>
      </w:pPr>
    </w:p>
    <w:bookmarkStart w:id="62" w:name="page63"/>
    <w:bookmarkEnd w:id="62"/>
    <w:p>
      <w:pPr>
        <w:ind w:firstLine="408"/>
        <w:spacing w:after="0" w:line="256" w:lineRule="auto"/>
        <w:tabs>
          <w:tab w:leader="none" w:pos="64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 other provision of this Agreement and subject to the payment of liquidated damages pursuant to Section 2(d), if the Commission or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as follows:</w:t>
      </w:r>
    </w:p>
    <w:p>
      <w:pPr>
        <w:spacing w:after="0" w:line="93" w:lineRule="exact"/>
        <w:rPr>
          <w:sz w:val="20"/>
          <w:szCs w:val="20"/>
          <w:color w:val="auto"/>
        </w:rPr>
      </w:pPr>
    </w:p>
    <w:p>
      <w:pPr>
        <w:ind w:left="980" w:hanging="533"/>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the Company shall reduce or eliminate any securities to be included other than Registrable Securities;</w:t>
      </w:r>
    </w:p>
    <w:p>
      <w:pPr>
        <w:spacing w:after="0" w:line="130" w:lineRule="exact"/>
        <w:rPr>
          <w:rFonts w:ascii="Times New Roman" w:cs="Times New Roman" w:eastAsia="Times New Roman" w:hAnsi="Times New Roman"/>
          <w:sz w:val="18"/>
          <w:szCs w:val="18"/>
          <w:color w:val="auto"/>
        </w:rPr>
      </w:pPr>
    </w:p>
    <w:p>
      <w:pPr>
        <w:ind w:left="980" w:right="140" w:hanging="533"/>
        <w:spacing w:after="0" w:line="266"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the Company shall reduce Registrable Securities represented by Common Warrant Shares (applied, in the case that some Common Warrant Shares may be registered, to the Holders on a pro rata basis based on the total number of unregistered Common Warrant Shares held by such Holders); and</w:t>
      </w:r>
    </w:p>
    <w:p>
      <w:pPr>
        <w:spacing w:after="0" w:line="81" w:lineRule="exact"/>
        <w:rPr>
          <w:rFonts w:ascii="Times New Roman" w:cs="Times New Roman" w:eastAsia="Times New Roman" w:hAnsi="Times New Roman"/>
          <w:sz w:val="18"/>
          <w:szCs w:val="18"/>
          <w:color w:val="auto"/>
        </w:rPr>
      </w:pPr>
    </w:p>
    <w:p>
      <w:pPr>
        <w:jc w:val="both"/>
        <w:ind w:left="980" w:right="20" w:hanging="533"/>
        <w:spacing w:after="0" w:line="266"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the Company shall reduce Registrable Securities represented by Shares and Pre-Funded Warrants (applied, in the case that some Shares and Pre-Funded Warrants may be registered, to the Holders on a pro rata basis based on the total number of unregistered Shares and Pre-Funded Warrant Shares held by such Holders).</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event of a cutback hereunder, the Company shall give the Holder at least three (3) Trading Days prior written notice along with the calculations as to such Holder’s allotment. In the event the Company amends the Initial Registration Statement in accordance with the foregoing, the Company will use its reasonable best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amended.</w:t>
      </w:r>
    </w:p>
    <w:p>
      <w:pPr>
        <w:spacing w:after="0" w:line="93" w:lineRule="exact"/>
        <w:rPr>
          <w:sz w:val="20"/>
          <w:szCs w:val="20"/>
          <w:color w:val="auto"/>
        </w:rPr>
      </w:pPr>
    </w:p>
    <w:p>
      <w:pPr>
        <w:ind w:left="980" w:right="20" w:hanging="533"/>
        <w:spacing w:after="0" w:line="254"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Initial Registration Statement is not filed on or prior to its Filing Date, or (ii) the Company fails to file with the Commission a request for acceleration of a Registration Statement in accordance with Rule 461 promulgated by the Commission pursuant to the Securities Act, within five Trading Days of the date that the Company is notified (in writing) by the Commission that such Registration Statement will not be “reviewed” or will not be subject to further review, or (iii) prior to the effective date of a Registration Statement, the Company fails to file a pre-effective amendment and otherwise respond in writing to comments made by the Commission in respect of such Registration Statement within ten (10) calendar days after the receipt of comments by or notice from the Commission that such amendment is required in order for such Registration Statement to be declared effective, or (iv) a Registration Statement registering for resale all of the Registrable Securities is not declared effective by the Commission by the Effectiveness Date of the</w:t>
      </w:r>
    </w:p>
    <w:p>
      <w:pPr>
        <w:spacing w:after="0" w:line="12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000"/>
          </w:cols>
          <w:pgMar w:left="1420" w:top="270" w:right="479" w:bottom="1440" w:gutter="0" w:footer="0" w:header="0"/>
        </w:sectPr>
      </w:pPr>
    </w:p>
    <w:bookmarkStart w:id="63" w:name="page64"/>
    <w:bookmarkEnd w:id="63"/>
    <w:p>
      <w:pPr>
        <w:jc w:val="both"/>
        <w:ind w:left="960" w:right="1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Initial Registration Statement or (v) after the effective date of a Registration Statement, such Registration Statement ceases for any reason to remain continuously effective as to all Registrable Securities included in such Registration Statement, or the Holders are otherwise not permitted to utilize the Prospectus therein to resell such Registrable Securities, for more than ten (10) consecutive calendar days or more than an aggregate of fifteen (15) calendar days (which need not be consecutive calendar days) during any 12-month period (any such failure or breach being referred to as an “Event”, and for purposes of clauses (i) and (iv), the date on which such Event occurs, and for purpose of clause (ii) the date on which such five</w:t>
      </w:r>
    </w:p>
    <w:p>
      <w:pPr>
        <w:spacing w:after="0" w:line="5" w:lineRule="exact"/>
        <w:rPr>
          <w:sz w:val="20"/>
          <w:szCs w:val="20"/>
          <w:color w:val="auto"/>
        </w:rPr>
      </w:pPr>
    </w:p>
    <w:p>
      <w:pPr>
        <w:ind w:left="960" w:right="60" w:firstLine="7"/>
        <w:spacing w:after="0" w:line="265" w:lineRule="auto"/>
        <w:tabs>
          <w:tab w:leader="none" w:pos="1212"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Day period is exceeded, and for purpose of clause (iii) the date which such ten (10) calendar day period is exceeded, and for purpose of clause (v) the date on which such ten (10) or fifteen (15) calendar day period, as applicable, is exceeded being referred to as “Event Date”), then, in addition to any other rights the Holders may have hereunder or under applicable law, on each such Event Date and on each monthly anniversary of each such Event Date (if the applicable Event shall not have been cured by such date) until the applicable Event is cured, the Company shall pay to each Holder an amount in cash, as partial liquidated damages and not as a penalty, equal to the product of (A) 1.0% multiplied by (B) the quotient of</w:t>
      </w:r>
    </w:p>
    <w:p>
      <w:pPr>
        <w:ind w:left="960" w:right="4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the number and type of each Holders’ Registrable Securities that are not then covered by a Registration Statement that is then effective and available for use by the Holders divided by (II) the total number and type of the Holders’ Registrable Securities initially purchased multiplied by (2) the aggregate allocated Subscription Amount paid by such Holder pursuant to the Purchase Agreement for such Registrable Securities that are not so covered by a Registration Statement. The parties agree that the maximum aggregate liquidated damages payable to a Holder under this Agreement shall be 6.0% of the aggregate Subscription Amount paid by such Holder pursuant to the Purchase Agreement. If the Company fails to pay any partial liquidated damages pursuant to this Section in full within seven days after the date payable, the Company will pay interest thereon at a rate of 10% per annum (or such lesser maximum amount that is permitted to be paid by applicable law) to the Holder,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w:t>
      </w:r>
    </w:p>
    <w:p>
      <w:pPr>
        <w:spacing w:after="0" w:line="84" w:lineRule="exact"/>
        <w:rPr>
          <w:rFonts w:ascii="Times New Roman" w:cs="Times New Roman" w:eastAsia="Times New Roman" w:hAnsi="Times New Roman"/>
          <w:sz w:val="17"/>
          <w:szCs w:val="17"/>
          <w:color w:val="auto"/>
        </w:rPr>
      </w:pPr>
    </w:p>
    <w:p>
      <w:pPr>
        <w:ind w:left="-20" w:firstLine="408"/>
        <w:spacing w:after="0" w:line="258" w:lineRule="auto"/>
        <w:tabs>
          <w:tab w:leader="none" w:pos="63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Commission.</w:t>
      </w:r>
    </w:p>
    <w:p>
      <w:pPr>
        <w:spacing w:after="0" w:line="11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000"/>
          </w:cols>
          <w:pgMar w:left="1440" w:top="270" w:right="459" w:bottom="1440" w:gutter="0" w:footer="0" w:header="0"/>
        </w:sectPr>
      </w:pPr>
    </w:p>
    <w:bookmarkStart w:id="64" w:name="page65"/>
    <w:bookmarkEnd w:id="64"/>
    <w:p>
      <w:pPr>
        <w:ind w:left="544" w:right="240" w:firstLine="408"/>
        <w:spacing w:after="0" w:line="282" w:lineRule="auto"/>
        <w:tabs>
          <w:tab w:leader="none" w:pos="1189"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contained herein, in no event shall the Company be permitted to name any Holder or affiliate of a Holder as any “underwriter” without the prior written consent of such Holder.</w:t>
      </w:r>
    </w:p>
    <w:p>
      <w:pPr>
        <w:spacing w:after="0" w:line="161"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In connection with the Company’s registration obligations hereunder, the Company shall:</w:t>
      </w:r>
    </w:p>
    <w:p>
      <w:pPr>
        <w:spacing w:after="0" w:line="117" w:lineRule="exact"/>
        <w:rPr>
          <w:sz w:val="20"/>
          <w:szCs w:val="20"/>
          <w:color w:val="auto"/>
        </w:rPr>
      </w:pPr>
    </w:p>
    <w:p>
      <w:pPr>
        <w:ind w:left="544" w:firstLine="408"/>
        <w:spacing w:after="0" w:line="253" w:lineRule="auto"/>
        <w:tabs>
          <w:tab w:leader="none" w:pos="1189"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five (5) Trading Days prior to the filing of each Registration Statement and not less than one (1) Trading Day prior to the filing of any related Prospectus or any amendment or supplement thereto (including any document that would be incorporated or deemed to be incorporated therein by reference), the Company shall furnish to each Holder copies of all such documents proposed to be filed, which documents (other than those incorporated or deemed to be incorporated by reference) will be subject to the review of such Holders. The Company shall not file a Registration Statement or any such Prospectus or any amendments or supplements thereto to which the Holders of a majority of the Registrable Securities shall reasonably object in good faith, provided that, the Company is notified of such objection in writing no later than two (2) Trading Days after the Holders have been so furnished copies of a Registration Statement or one</w:t>
      </w:r>
    </w:p>
    <w:p>
      <w:pPr>
        <w:spacing w:after="0" w:line="2" w:lineRule="exact"/>
        <w:rPr>
          <w:rFonts w:ascii="Times New Roman" w:cs="Times New Roman" w:eastAsia="Times New Roman" w:hAnsi="Times New Roman"/>
          <w:sz w:val="18"/>
          <w:szCs w:val="18"/>
          <w:color w:val="auto"/>
        </w:rPr>
      </w:pPr>
    </w:p>
    <w:p>
      <w:pPr>
        <w:ind w:left="544" w:right="40" w:firstLine="7"/>
        <w:spacing w:after="0" w:line="255" w:lineRule="auto"/>
        <w:tabs>
          <w:tab w:leader="none" w:pos="7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Trading Day after the Holders have been so furnished copies of any related Prospectus or amendments or supplements thereto. On or prior to the Closing Date, each Holder agrees to furnish to the Company a completed questionnaire in the form attached to this Agreement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Selling Stockholder Questionnaire</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left="544" w:right="20" w:firstLine="408"/>
        <w:spacing w:after="0" w:line="253" w:lineRule="auto"/>
        <w:tabs>
          <w:tab w:leader="none" w:pos="1199"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(iii) respond as promptly as reasonably 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spacing w:after="0" w:line="120"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44"/>
          </w:cols>
          <w:pgMar w:left="876" w:top="270" w:right="479" w:bottom="1440" w:gutter="0" w:footer="0" w:header="0"/>
        </w:sectPr>
      </w:pPr>
    </w:p>
    <w:bookmarkStart w:id="65" w:name="page66"/>
    <w:bookmarkEnd w:id="65"/>
    <w:p>
      <w:pPr>
        <w:ind w:left="-20" w:right="100" w:firstLine="408"/>
        <w:spacing w:after="0" w:line="261" w:lineRule="auto"/>
        <w:tabs>
          <w:tab w:leader="none" w:pos="62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during the Effectiveness Period, the number of Registrable Securities at any time exceeds 100% of the number of shares of Common Stock then registered in a Registration Statement, then the Company shall file as soon as reasonably practicable, but in any case prior to the applicable Filing Date, an additional Registration Statement covering the resale by the Holders of not less than the number of such Registrable Securities.</w:t>
      </w:r>
    </w:p>
    <w:p>
      <w:pPr>
        <w:spacing w:after="0" w:line="71" w:lineRule="exact"/>
        <w:rPr>
          <w:rFonts w:ascii="Times New Roman" w:cs="Times New Roman" w:eastAsia="Times New Roman" w:hAnsi="Times New Roman"/>
          <w:sz w:val="18"/>
          <w:szCs w:val="18"/>
          <w:color w:val="auto"/>
        </w:rPr>
      </w:pPr>
    </w:p>
    <w:p>
      <w:pPr>
        <w:ind w:left="-20" w:firstLine="408"/>
        <w:spacing w:after="0" w:line="252" w:lineRule="auto"/>
        <w:tabs>
          <w:tab w:leader="none" w:pos="6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w:t>
      </w:r>
    </w:p>
    <w:p>
      <w:pPr>
        <w:spacing w:after="0" w:line="12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000"/>
          </w:cols>
          <w:pgMar w:left="1440" w:top="270" w:right="459" w:bottom="1440" w:gutter="0" w:footer="0" w:header="0"/>
        </w:sectPr>
      </w:pPr>
    </w:p>
    <w:bookmarkStart w:id="66" w:name="page67"/>
    <w:bookmarkEnd w:id="66"/>
    <w:p>
      <w:pPr>
        <w:ind w:right="20" w:firstLine="408"/>
        <w:spacing w:after="0" w:line="266" w:lineRule="auto"/>
        <w:tabs>
          <w:tab w:leader="none" w:pos="64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Use its reasonable best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spacing w:after="0" w:line="67" w:lineRule="exact"/>
        <w:rPr>
          <w:rFonts w:ascii="Times New Roman" w:cs="Times New Roman" w:eastAsia="Times New Roman" w:hAnsi="Times New Roman"/>
          <w:sz w:val="18"/>
          <w:szCs w:val="18"/>
          <w:color w:val="auto"/>
        </w:rPr>
      </w:pPr>
    </w:p>
    <w:p>
      <w:pPr>
        <w:ind w:right="80" w:firstLine="408"/>
        <w:spacing w:after="0" w:line="258" w:lineRule="auto"/>
        <w:tabs>
          <w:tab w:leader="none" w:pos="62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(or successor thereto) need not be furnished in physical form.</w:t>
      </w:r>
    </w:p>
    <w:p>
      <w:pPr>
        <w:spacing w:after="0" w:line="75" w:lineRule="exact"/>
        <w:rPr>
          <w:rFonts w:ascii="Times New Roman" w:cs="Times New Roman" w:eastAsia="Times New Roman" w:hAnsi="Times New Roman"/>
          <w:sz w:val="18"/>
          <w:szCs w:val="18"/>
          <w:color w:val="auto"/>
        </w:rPr>
      </w:pPr>
    </w:p>
    <w:p>
      <w:pPr>
        <w:ind w:right="240" w:firstLine="408"/>
        <w:spacing w:after="0" w:line="266" w:lineRule="auto"/>
        <w:tabs>
          <w:tab w:leader="none" w:pos="65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w:t>
      </w:r>
    </w:p>
    <w:p>
      <w:pPr>
        <w:spacing w:after="0" w:line="67" w:lineRule="exact"/>
        <w:rPr>
          <w:rFonts w:ascii="Times New Roman" w:cs="Times New Roman" w:eastAsia="Times New Roman" w:hAnsi="Times New Roman"/>
          <w:sz w:val="18"/>
          <w:szCs w:val="18"/>
          <w:color w:val="auto"/>
        </w:rPr>
      </w:pPr>
    </w:p>
    <w:p>
      <w:pPr>
        <w:ind w:left="660" w:hanging="252"/>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resale of Registrable Securities by a Holder, use its commercially reasonable efforts to register or qualify or</w:t>
      </w:r>
    </w:p>
    <w:p>
      <w:pPr>
        <w:spacing w:after="0" w:line="27" w:lineRule="exact"/>
        <w:rPr>
          <w:rFonts w:ascii="Times New Roman" w:cs="Times New Roman" w:eastAsia="Times New Roman" w:hAnsi="Times New Roman"/>
          <w:sz w:val="18"/>
          <w:szCs w:val="18"/>
          <w:color w:val="auto"/>
        </w:rPr>
      </w:pP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80" w:lineRule="exact"/>
        <w:rPr>
          <w:rFonts w:ascii="Times New Roman" w:cs="Times New Roman" w:eastAsia="Times New Roman" w:hAnsi="Times New Roman"/>
          <w:sz w:val="18"/>
          <w:szCs w:val="18"/>
          <w:color w:val="auto"/>
        </w:rPr>
      </w:pPr>
    </w:p>
    <w:p>
      <w:pPr>
        <w:ind w:right="60" w:firstLine="408"/>
        <w:spacing w:after="0" w:line="261" w:lineRule="auto"/>
        <w:tabs>
          <w:tab w:leader="none" w:pos="61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 Holder, cooperate with such Holder to facilitate the timely preparation and delivery of certificates representing 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 may request.</w:t>
      </w:r>
    </w:p>
    <w:p>
      <w:pPr>
        <w:spacing w:after="0" w:line="11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020"/>
          </w:cols>
          <w:pgMar w:left="1420" w:top="270" w:right="459" w:bottom="1440" w:gutter="0" w:footer="0" w:header="0"/>
        </w:sectPr>
      </w:pPr>
    </w:p>
    <w:bookmarkStart w:id="67" w:name="page68"/>
    <w:bookmarkEnd w:id="67"/>
    <w:p>
      <w:pPr>
        <w:ind w:left="-7" w:right="60" w:firstLine="408"/>
        <w:spacing w:after="0" w:line="253" w:lineRule="auto"/>
        <w:tabs>
          <w:tab w:leader="none" w:pos="60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the occurrence of any event contemplated by Section 3(d),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w:t>
      </w:r>
    </w:p>
    <w:p>
      <w:pPr>
        <w:spacing w:after="0" w:line="2" w:lineRule="exact"/>
        <w:rPr>
          <w:rFonts w:ascii="Times New Roman" w:cs="Times New Roman" w:eastAsia="Times New Roman" w:hAnsi="Times New Roman"/>
          <w:sz w:val="18"/>
          <w:szCs w:val="18"/>
          <w:color w:val="auto"/>
        </w:rPr>
      </w:pPr>
    </w:p>
    <w:p>
      <w:pPr>
        <w:ind w:left="-7" w:firstLine="7"/>
        <w:spacing w:after="0" w:line="252" w:lineRule="auto"/>
        <w:tabs>
          <w:tab w:leader="none" w:pos="30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(vi) of Section 3(d) above to suspend the use of any Prospectus until the requisite changes to such Prospectus have been made, then the Holders shall suspend use of such Prospectus. The Company will use its reasonable best efforts to ensure that the use of the Prospectus may be resumed as promptly as is practicable. The Company shall be entitled to exercise its right under this Section 3(j) to suspend the availability of a Registration Statement and Prospectus, subject to the payment of partial liquidated damages otherwise required pursuant to Section 2(d), for a period not to exceed 60 calendar days (which need not be consecutive days) in any 12-month period.</w:t>
      </w:r>
    </w:p>
    <w:p>
      <w:pPr>
        <w:spacing w:after="0" w:line="81" w:lineRule="exact"/>
        <w:rPr>
          <w:rFonts w:ascii="Times New Roman" w:cs="Times New Roman" w:eastAsia="Times New Roman" w:hAnsi="Times New Roman"/>
          <w:sz w:val="18"/>
          <w:szCs w:val="18"/>
          <w:color w:val="auto"/>
        </w:rPr>
      </w:pPr>
    </w:p>
    <w:p>
      <w:pPr>
        <w:ind w:left="-7" w:right="100" w:firstLine="408"/>
        <w:spacing w:after="0" w:line="256" w:lineRule="auto"/>
        <w:tabs>
          <w:tab w:leader="none" w:pos="64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commercially reasonable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spacing w:after="0" w:line="79" w:lineRule="exact"/>
        <w:rPr>
          <w:rFonts w:ascii="Times New Roman" w:cs="Times New Roman" w:eastAsia="Times New Roman" w:hAnsi="Times New Roman"/>
          <w:sz w:val="18"/>
          <w:szCs w:val="18"/>
          <w:color w:val="auto"/>
        </w:rPr>
      </w:pPr>
    </w:p>
    <w:p>
      <w:pPr>
        <w:ind w:left="-7" w:right="240" w:firstLine="408"/>
        <w:spacing w:after="0" w:line="282" w:lineRule="auto"/>
        <w:tabs>
          <w:tab w:leader="none" w:pos="60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reasonable best efforts to maintain eligibility for use of Form S-3 (or any successor form thereto) for the registration of the resale of Registrable Securities.</w:t>
      </w:r>
    </w:p>
    <w:p>
      <w:pPr>
        <w:spacing w:after="0" w:line="53" w:lineRule="exact"/>
        <w:rPr>
          <w:rFonts w:ascii="Times New Roman" w:cs="Times New Roman" w:eastAsia="Times New Roman" w:hAnsi="Times New Roman"/>
          <w:sz w:val="18"/>
          <w:szCs w:val="18"/>
          <w:color w:val="auto"/>
        </w:rPr>
      </w:pPr>
    </w:p>
    <w:p>
      <w:pPr>
        <w:ind w:left="-7" w:right="240" w:firstLine="408"/>
        <w:spacing w:after="0" w:line="266" w:lineRule="auto"/>
        <w:tabs>
          <w:tab w:leader="none" w:pos="69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 During any periods that the Company is unable to meet its obligations hereunder</w:t>
      </w:r>
    </w:p>
    <w:p>
      <w:pPr>
        <w:spacing w:after="0" w:line="108" w:lineRule="exact"/>
        <w:rPr>
          <w:sz w:val="20"/>
          <w:szCs w:val="20"/>
          <w:color w:val="auto"/>
        </w:rPr>
      </w:pPr>
    </w:p>
    <w:p>
      <w:pPr>
        <w:ind w:left="443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033"/>
          </w:cols>
          <w:pgMar w:left="1427" w:top="270" w:right="439" w:bottom="1440" w:gutter="0" w:footer="0" w:header="0"/>
        </w:sectPr>
      </w:pPr>
    </w:p>
    <w:bookmarkStart w:id="68" w:name="page69"/>
    <w:bookmarkEnd w:id="68"/>
    <w:p>
      <w:pPr>
        <w:ind w:left="984"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the registration of the Registrable Securities solely because any Holder fails to furnish such information within three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w:t>
      </w:r>
    </w:p>
    <w:p>
      <w:pPr>
        <w:spacing w:after="0" w:line="180" w:lineRule="exact"/>
        <w:rPr>
          <w:sz w:val="20"/>
          <w:szCs w:val="20"/>
          <w:color w:val="auto"/>
        </w:rPr>
      </w:pPr>
    </w:p>
    <w:p>
      <w:pPr>
        <w:ind w:left="4" w:firstLine="436"/>
        <w:spacing w:after="0" w:line="268" w:lineRule="auto"/>
        <w:tabs>
          <w:tab w:leader="none" w:pos="624"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Registration Expenses</w:t>
      </w:r>
      <w:r>
        <w:rPr>
          <w:rFonts w:ascii="Times New Roman" w:cs="Times New Roman" w:eastAsia="Times New Roman" w:hAnsi="Times New Roman"/>
          <w:sz w:val="17"/>
          <w:szCs w:val="17"/>
          <w:color w:val="auto"/>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Trading Market on which the Common Stock is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w:t>
      </w:r>
    </w:p>
    <w:p>
      <w:pPr>
        <w:ind w:left="4" w:right="40" w:hanging="4"/>
        <w:spacing w:after="0" w:line="253" w:lineRule="auto"/>
        <w:tabs>
          <w:tab w:leader="none" w:pos="25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 no event shall the Company be responsible for any broker or similar commissions of any Holder or, except to the extent provided for in the Transaction Documents, any legal fees or other costs of the Holders.</w:t>
      </w:r>
    </w:p>
    <w:p>
      <w:pPr>
        <w:spacing w:after="0" w:line="186"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4" w:firstLine="408"/>
        <w:spacing w:after="0" w:line="254" w:lineRule="auto"/>
        <w:tabs>
          <w:tab w:leader="none" w:pos="1629"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shall, notwithstanding any termination of this Agreement, indemnify and hold harmless each Holder, the officers, directors, members, partners and agents of each of them, each Person who controls any such Holder (within the meaning of Section 15 of the Securities Act or Section 20 of the Exchange Act) and the officers, directors, members, stockholders, partners, agents and employees of each such controlling Person, to the fullest extent permitted by applicable law, from and against any and all losses, claims, damages, liabilities, costs (including, without limitation, reasonable and documented attorneys’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as incurred, arising out of or relating to (1) any untrue or alleged untrue statement of a material fact contained in a Registration Statement, any Prospectus or any form of prospectus or in any amendment or supplement thereto, or arising out of or relating to any omission or alleged omission of a material fact required to be stated therein or necessary to make the statements therein (in the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69" w:name="page70"/>
    <w:bookmarkEnd w:id="6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case of any Prospectus or supplement thereto, in light of the circumstances under which they were made) not misleading or (2) any violation or alleged violation by the Company of the Securities Act,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Annex A hereto for this purpose) or (ii) in the case of an occurrence of an event of the type specified in Section 3(d)(iii)-(vi),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w:t>
      </w:r>
    </w:p>
    <w:p>
      <w:pPr>
        <w:spacing w:after="0" w:line="5"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18"/>
          <w:szCs w:val="18"/>
          <w:color w:val="auto"/>
        </w:rPr>
        <w:t>Section 6(c).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6(f).</w:t>
      </w:r>
    </w:p>
    <w:p>
      <w:pPr>
        <w:spacing w:after="0" w:line="81" w:lineRule="exact"/>
        <w:rPr>
          <w:sz w:val="20"/>
          <w:szCs w:val="20"/>
          <w:color w:val="auto"/>
        </w:rPr>
      </w:pPr>
    </w:p>
    <w:p>
      <w:pPr>
        <w:ind w:firstLine="408"/>
        <w:spacing w:after="0" w:line="253"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Holders</w:t>
      </w:r>
      <w:r>
        <w:rPr>
          <w:rFonts w:ascii="Times New Roman" w:cs="Times New Roman" w:eastAsia="Times New Roman" w:hAnsi="Times New Roman"/>
          <w:sz w:val="18"/>
          <w:szCs w:val="18"/>
          <w:color w:val="auto"/>
        </w:rPr>
        <w:t>.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expressly for inclusion in such Registration Statement or such Prospectus or (ii) to the extent, but only to the extent, that such information relates to such Holder’s information provided in the Selling Stockholder Questionnaire or the proposed method of distribution of Registrable Securities and was reviewed and expressly approved in writing by such Holder expressly for use in a Registration Statement (it being understood that the Holder has approved Annex A hereto for this purpose), such Prospectus or in any amendment or supplement thereto. In no event shall the liability of a selling Holder be greater in</w:t>
      </w:r>
    </w:p>
    <w:p>
      <w:pPr>
        <w:spacing w:after="0" w:line="12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020"/>
          </w:cols>
          <w:pgMar w:left="1420" w:top="270" w:right="459" w:bottom="1440" w:gutter="0" w:footer="0" w:header="0"/>
        </w:sectPr>
      </w:pPr>
    </w:p>
    <w:bookmarkStart w:id="70" w:name="page71"/>
    <w:bookmarkEnd w:id="70"/>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spacing w:after="0" w:line="72" w:lineRule="exact"/>
        <w:rPr>
          <w:sz w:val="20"/>
          <w:szCs w:val="20"/>
          <w:color w:val="auto"/>
        </w:rPr>
      </w:pPr>
    </w:p>
    <w:p>
      <w:pPr>
        <w:ind w:firstLine="408"/>
        <w:spacing w:after="0" w:line="254" w:lineRule="auto"/>
        <w:tabs>
          <w:tab w:leader="none" w:pos="64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If any Proceeding shall be brought or asserted against any Person entitled to indemnity hereunder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such Indemnified Party shall promptly notify the Person from whom indemnity is sought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in writing, and the Indemnifying Party shall have the right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spacing w:after="0" w:line="84" w:lineRule="exact"/>
        <w:rPr>
          <w:sz w:val="20"/>
          <w:szCs w:val="20"/>
          <w:color w:val="auto"/>
        </w:rPr>
      </w:pPr>
    </w:p>
    <w:p>
      <w:pPr>
        <w:ind w:right="20" w:firstLine="401"/>
        <w:spacing w:after="0" w:line="252" w:lineRule="auto"/>
        <w:rPr>
          <w:sz w:val="20"/>
          <w:szCs w:val="20"/>
          <w:color w:val="auto"/>
        </w:rPr>
      </w:pPr>
      <w:r>
        <w:rPr>
          <w:rFonts w:ascii="Times New Roman" w:cs="Times New Roman" w:eastAsia="Times New Roman" w:hAnsi="Times New Roman"/>
          <w:sz w:val="18"/>
          <w:szCs w:val="18"/>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13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020"/>
          </w:cols>
          <w:pgMar w:left="1420" w:top="270" w:right="459" w:bottom="1440" w:gutter="0" w:footer="0" w:header="0"/>
        </w:sectPr>
      </w:pPr>
    </w:p>
    <w:bookmarkStart w:id="71" w:name="page72"/>
    <w:bookmarkEnd w:id="71"/>
    <w:p>
      <w:pPr>
        <w:ind w:right="40" w:firstLine="40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Trading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spacing w:after="0" w:line="79" w:lineRule="exact"/>
        <w:rPr>
          <w:sz w:val="20"/>
          <w:szCs w:val="20"/>
          <w:color w:val="auto"/>
        </w:rPr>
      </w:pPr>
    </w:p>
    <w:p>
      <w:pPr>
        <w:ind w:firstLine="408"/>
        <w:spacing w:after="0" w:line="253"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82" w:lineRule="exact"/>
        <w:rPr>
          <w:sz w:val="20"/>
          <w:szCs w:val="20"/>
          <w:color w:val="auto"/>
        </w:rPr>
      </w:pPr>
    </w:p>
    <w:p>
      <w:pPr>
        <w:ind w:firstLine="401"/>
        <w:spacing w:after="0" w:line="256" w:lineRule="auto"/>
        <w:rPr>
          <w:sz w:val="20"/>
          <w:szCs w:val="20"/>
          <w:color w:val="auto"/>
        </w:rPr>
      </w:pPr>
      <w:r>
        <w:rPr>
          <w:rFonts w:ascii="Times New Roman" w:cs="Times New Roman" w:eastAsia="Times New Roman" w:hAnsi="Times New Roman"/>
          <w:sz w:val="18"/>
          <w:szCs w:val="18"/>
          <w:color w:val="auto"/>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79" w:lineRule="exact"/>
        <w:rPr>
          <w:sz w:val="20"/>
          <w:szCs w:val="20"/>
          <w:color w:val="auto"/>
        </w:rPr>
      </w:pPr>
    </w:p>
    <w:p>
      <w:pPr>
        <w:ind w:right="260" w:firstLine="401"/>
        <w:spacing w:after="0" w:line="282" w:lineRule="auto"/>
        <w:rPr>
          <w:sz w:val="20"/>
          <w:szCs w:val="20"/>
          <w:color w:val="auto"/>
        </w:rPr>
      </w:pPr>
      <w:r>
        <w:rPr>
          <w:rFonts w:ascii="Times New Roman" w:cs="Times New Roman" w:eastAsia="Times New Roman" w:hAnsi="Times New Roman"/>
          <w:sz w:val="18"/>
          <w:szCs w:val="18"/>
          <w:color w:val="auto"/>
        </w:rPr>
        <w:t>The indemnity and contribution agreements contained in this Section are in addition to any liability that the Indemnifying Parties may have to the Indemnified Parties.</w:t>
      </w:r>
    </w:p>
    <w:p>
      <w:pPr>
        <w:spacing w:after="0" w:line="9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960"/>
          </w:cols>
          <w:pgMar w:left="1420" w:top="270" w:right="519" w:bottom="1440" w:gutter="0" w:footer="0" w:header="0"/>
        </w:sectPr>
      </w:pPr>
    </w:p>
    <w:bookmarkStart w:id="72" w:name="page73"/>
    <w:bookmarkEnd w:id="72"/>
    <w:p>
      <w:pPr>
        <w:ind w:left="184" w:hanging="184"/>
        <w:spacing w:after="0"/>
        <w:tabs>
          <w:tab w:leader="none" w:pos="18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Miscellaneous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4" w:right="20" w:firstLine="408"/>
        <w:spacing w:after="0" w:line="256" w:lineRule="auto"/>
        <w:tabs>
          <w:tab w:leader="none" w:pos="118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xml:space="preserve">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r>
        <w:rPr>
          <w:rFonts w:ascii="Times New Roman" w:cs="Times New Roman" w:eastAsia="Times New Roman" w:hAnsi="Times New Roman"/>
          <w:sz w:val="18"/>
          <w:szCs w:val="18"/>
          <w:u w:val="single" w:color="auto"/>
          <w:color w:val="auto"/>
        </w:rPr>
        <w:t>.</w:t>
      </w:r>
    </w:p>
    <w:p>
      <w:pPr>
        <w:spacing w:after="0" w:line="79" w:lineRule="exact"/>
        <w:rPr>
          <w:rFonts w:ascii="Times New Roman" w:cs="Times New Roman" w:eastAsia="Times New Roman" w:hAnsi="Times New Roman"/>
          <w:sz w:val="18"/>
          <w:szCs w:val="18"/>
          <w:color w:val="auto"/>
        </w:rPr>
      </w:pPr>
    </w:p>
    <w:p>
      <w:pPr>
        <w:ind w:left="544" w:firstLine="408"/>
        <w:spacing w:after="0" w:line="255" w:lineRule="auto"/>
        <w:tabs>
          <w:tab w:leader="none" w:pos="119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Piggyback on Registrations; Prohibition on Filing Other Registration Statements</w:t>
      </w:r>
      <w:r>
        <w:rPr>
          <w:rFonts w:ascii="Times New Roman" w:cs="Times New Roman" w:eastAsia="Times New Roman" w:hAnsi="Times New Roman"/>
          <w:sz w:val="18"/>
          <w:szCs w:val="18"/>
          <w:color w:val="auto"/>
        </w:rPr>
        <w:t xml:space="preserve"> Neither the Company nor any of its security holders (other than the Holders in such capacity pursuant hereto) may include securities of the Company in any Registration Statements other than the Registrable Securities. The Company shall not file any other registration statements until all Registrable Securities are registered pursuant to the Registration Statement that is declared effective by the Commission other than the Registration Statement during the prohibition period set forth in Section 4.11(a) of the Purchase Agreement; provided that this Section 6(b) shall not prohibit the Company from filing amendments to registration statements filed prior to the date of this Agreement so long as no new securities are registered on any such existing registration statements.</w:t>
      </w:r>
    </w:p>
    <w:p>
      <w:pPr>
        <w:spacing w:after="0" w:line="80" w:lineRule="exact"/>
        <w:rPr>
          <w:rFonts w:ascii="Times New Roman" w:cs="Times New Roman" w:eastAsia="Times New Roman" w:hAnsi="Times New Roman"/>
          <w:sz w:val="18"/>
          <w:szCs w:val="18"/>
          <w:color w:val="auto"/>
        </w:rPr>
      </w:pPr>
    </w:p>
    <w:p>
      <w:pPr>
        <w:ind w:left="544" w:right="60" w:firstLine="408"/>
        <w:spacing w:after="0" w:line="255" w:lineRule="auto"/>
        <w:tabs>
          <w:tab w:leader="none" w:pos="118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Discontinued Disposition</w:t>
      </w:r>
      <w:r>
        <w:rPr>
          <w:rFonts w:ascii="Times New Roman" w:cs="Times New Roman" w:eastAsia="Times New Roman" w:hAnsi="Times New Roman"/>
          <w:sz w:val="18"/>
          <w:szCs w:val="18"/>
          <w:color w:val="auto"/>
        </w:rPr>
        <w:t>. 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“Advice”) by the Company that the use of the applicable Prospectus (as it may have been supplemented or amended) may be resumed. The Company will use its reasonable best efforts to ensure that the use of the Prospectus may be resumed as promptly as is practicable. The Company agrees and acknowledges that any periods during which the Holder is required to discontinue the disposition of the Registrable Securities hereunder shall be subject to the provisions of Section 2(d).</w:t>
      </w:r>
    </w:p>
    <w:p>
      <w:pPr>
        <w:spacing w:after="0" w:line="80" w:lineRule="exact"/>
        <w:rPr>
          <w:rFonts w:ascii="Times New Roman" w:cs="Times New Roman" w:eastAsia="Times New Roman" w:hAnsi="Times New Roman"/>
          <w:sz w:val="18"/>
          <w:szCs w:val="18"/>
          <w:color w:val="auto"/>
        </w:rPr>
      </w:pPr>
    </w:p>
    <w:p>
      <w:pPr>
        <w:ind w:left="544" w:right="60" w:firstLine="408"/>
        <w:spacing w:after="0" w:line="261" w:lineRule="auto"/>
        <w:tabs>
          <w:tab w:leader="none" w:pos="119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50.1% or more of the then outstanding Registrable Securities (for purposes of clarification, this includes any Registrable Securities issuable upon exercise or conversion of any Warrants), provided that, if any</w:t>
      </w:r>
    </w:p>
    <w:p>
      <w:pPr>
        <w:spacing w:after="0" w:line="112"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44"/>
          </w:cols>
          <w:pgMar w:left="876" w:top="270" w:right="479" w:bottom="1440" w:gutter="0" w:footer="0" w:header="0"/>
        </w:sectPr>
      </w:pPr>
    </w:p>
    <w:bookmarkStart w:id="73" w:name="page74"/>
    <w:bookmarkEnd w:id="7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 modification or waiver disproportionately and adversely impacts a Holder (or group of Holders), the consent of such disproportionately impacted Holder (or 66.7% of such group of Holders) shall be required.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provided, however, that the provisions of this sentence may not be amended, modified, or supplemented except in accordance with the provisions of the first sentence of this Section 6(d). No consideration shall be offered or paid to any Person to amend or consent to a waiver or modification of any provision of this Agreement unless the same consideration also is offered to all of the parties to this Agreement.</w:t>
      </w:r>
    </w:p>
    <w:p>
      <w:pPr>
        <w:spacing w:after="0" w:line="84" w:lineRule="exact"/>
        <w:rPr>
          <w:sz w:val="20"/>
          <w:szCs w:val="20"/>
          <w:color w:val="auto"/>
        </w:rPr>
      </w:pPr>
    </w:p>
    <w:p>
      <w:pPr>
        <w:ind w:right="480" w:firstLine="408"/>
        <w:spacing w:after="0" w:line="282" w:lineRule="auto"/>
        <w:tabs>
          <w:tab w:leader="none" w:pos="64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delivered as set forth in the Purchase Agreement.</w:t>
      </w:r>
    </w:p>
    <w:p>
      <w:pPr>
        <w:spacing w:after="0" w:line="53" w:lineRule="exact"/>
        <w:rPr>
          <w:rFonts w:ascii="Times New Roman" w:cs="Times New Roman" w:eastAsia="Times New Roman" w:hAnsi="Times New Roman"/>
          <w:sz w:val="18"/>
          <w:szCs w:val="18"/>
          <w:color w:val="auto"/>
        </w:rPr>
      </w:pPr>
    </w:p>
    <w:p>
      <w:pPr>
        <w:ind w:firstLine="408"/>
        <w:spacing w:after="0" w:line="261" w:lineRule="auto"/>
        <w:tabs>
          <w:tab w:leader="none" w:pos="62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in the manner and to the Persons as permitted under Section 5.7 of the Purchase Agreement.</w:t>
      </w:r>
    </w:p>
    <w:p>
      <w:pPr>
        <w:spacing w:after="0" w:line="71" w:lineRule="exact"/>
        <w:rPr>
          <w:rFonts w:ascii="Times New Roman" w:cs="Times New Roman" w:eastAsia="Times New Roman" w:hAnsi="Times New Roman"/>
          <w:sz w:val="18"/>
          <w:szCs w:val="18"/>
          <w:color w:val="auto"/>
        </w:rPr>
      </w:pPr>
    </w:p>
    <w:p>
      <w:pPr>
        <w:ind w:right="40" w:firstLine="408"/>
        <w:spacing w:after="0" w:line="258"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Inconsistent Agreements.</w:t>
      </w:r>
      <w:r>
        <w:rPr>
          <w:rFonts w:ascii="Times New Roman" w:cs="Times New Roman" w:eastAsia="Times New Roman" w:hAnsi="Times New Roman"/>
          <w:sz w:val="18"/>
          <w:szCs w:val="18"/>
          <w:color w:val="auto"/>
        </w:rPr>
        <w:t xml:space="preserve">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Neither the Company nor any of its Subsidiaries has previously entered into any agreement granting any registration rights with respect to any of its securities to any Person that have not been waived or satisfied in full.</w:t>
      </w:r>
    </w:p>
    <w:p>
      <w:pPr>
        <w:spacing w:after="0" w:line="75" w:lineRule="exact"/>
        <w:rPr>
          <w:rFonts w:ascii="Times New Roman" w:cs="Times New Roman" w:eastAsia="Times New Roman" w:hAnsi="Times New Roman"/>
          <w:sz w:val="18"/>
          <w:szCs w:val="18"/>
          <w:color w:val="auto"/>
        </w:rPr>
      </w:pPr>
    </w:p>
    <w:p>
      <w:pPr>
        <w:ind w:right="180" w:firstLine="408"/>
        <w:spacing w:after="0" w:line="256"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and Counterparts.</w:t>
      </w:r>
      <w:r>
        <w:rPr>
          <w:rFonts w:ascii="Times New Roman" w:cs="Times New Roman" w:eastAsia="Times New Roman" w:hAnsi="Times New Roman"/>
          <w:sz w:val="18"/>
          <w:szCs w:val="18"/>
          <w:color w:val="auto"/>
        </w:rPr>
        <w:t xml:space="preserve">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e-mail delivery of a “.pdf” format data file or any electronic signature complying with the U.S. federal ESIGN Act of 2000 (e.g., www.docusign.com), such signature shall create a valid and binding obligation of the party executing (or on whose behalf such signature is executed) with the same force and effect as if such “.pdf” signature page were an original thereof.</w:t>
      </w:r>
    </w:p>
    <w:p>
      <w:pPr>
        <w:spacing w:after="0" w:line="12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980"/>
          </w:cols>
          <w:pgMar w:left="1420" w:top="270" w:right="499" w:bottom="1440" w:gutter="0" w:footer="0" w:header="0"/>
        </w:sectPr>
      </w:pPr>
    </w:p>
    <w:bookmarkStart w:id="74" w:name="page75"/>
    <w:bookmarkEnd w:id="74"/>
    <w:p>
      <w:pPr>
        <w:ind w:left="-20" w:right="280" w:firstLine="408"/>
        <w:spacing w:after="0" w:line="282" w:lineRule="auto"/>
        <w:tabs>
          <w:tab w:leader="none" w:pos="59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Governing Law.</w:t>
      </w:r>
      <w:r>
        <w:rPr>
          <w:rFonts w:ascii="Times New Roman" w:cs="Times New Roman" w:eastAsia="Times New Roman" w:hAnsi="Times New Roman"/>
          <w:sz w:val="18"/>
          <w:szCs w:val="18"/>
          <w:color w:val="auto"/>
        </w:rPr>
        <w:t xml:space="preserve"> All questions concerning the construction, validity, enforcement and interpretation of this Agreement shall be determined in accordance with the provisions of the Purchase Agreement.</w:t>
      </w:r>
    </w:p>
    <w:p>
      <w:pPr>
        <w:spacing w:after="0" w:line="53" w:lineRule="exact"/>
        <w:rPr>
          <w:rFonts w:ascii="Times New Roman" w:cs="Times New Roman" w:eastAsia="Times New Roman" w:hAnsi="Times New Roman"/>
          <w:sz w:val="18"/>
          <w:szCs w:val="18"/>
          <w:color w:val="auto"/>
        </w:rPr>
      </w:pPr>
    </w:p>
    <w:p>
      <w:pPr>
        <w:ind w:left="600" w:hanging="212"/>
        <w:spacing w:after="0"/>
        <w:tabs>
          <w:tab w:leader="none" w:pos="6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xml:space="preserve"> The remedies provided herein are cumulative and not exclusive of any other remedies provided by law.</w:t>
      </w:r>
    </w:p>
    <w:p>
      <w:pPr>
        <w:spacing w:after="0" w:line="117" w:lineRule="exact"/>
        <w:rPr>
          <w:rFonts w:ascii="Times New Roman" w:cs="Times New Roman" w:eastAsia="Times New Roman" w:hAnsi="Times New Roman"/>
          <w:sz w:val="18"/>
          <w:szCs w:val="18"/>
          <w:color w:val="auto"/>
        </w:rPr>
      </w:pPr>
    </w:p>
    <w:p>
      <w:pPr>
        <w:ind w:left="-20" w:firstLine="408"/>
        <w:spacing w:after="0" w:line="255" w:lineRule="auto"/>
        <w:tabs>
          <w:tab w:leader="none" w:pos="63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80" w:lineRule="exact"/>
        <w:rPr>
          <w:rFonts w:ascii="Times New Roman" w:cs="Times New Roman" w:eastAsia="Times New Roman" w:hAnsi="Times New Roman"/>
          <w:sz w:val="18"/>
          <w:szCs w:val="18"/>
          <w:color w:val="auto"/>
        </w:rPr>
      </w:pPr>
    </w:p>
    <w:p>
      <w:pPr>
        <w:ind w:left="-20" w:right="280" w:firstLine="408"/>
        <w:spacing w:after="0" w:line="282" w:lineRule="auto"/>
        <w:tabs>
          <w:tab w:leader="none" w:pos="59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xml:space="preserve"> The headings in this Agreement are for convenience only, do not constitute a part of the Agreement and shall not be deemed to limit or affect any of the provisions hereof</w:t>
      </w:r>
      <w:r>
        <w:rPr>
          <w:rFonts w:ascii="Times New Roman" w:cs="Times New Roman" w:eastAsia="Times New Roman" w:hAnsi="Times New Roman"/>
          <w:sz w:val="18"/>
          <w:szCs w:val="18"/>
          <w:u w:val="single" w:color="auto"/>
          <w:color w:val="auto"/>
        </w:rPr>
        <w:t>.</w:t>
      </w:r>
    </w:p>
    <w:p>
      <w:pPr>
        <w:spacing w:after="0" w:line="53" w:lineRule="exact"/>
        <w:rPr>
          <w:rFonts w:ascii="Times New Roman" w:cs="Times New Roman" w:eastAsia="Times New Roman" w:hAnsi="Times New Roman"/>
          <w:sz w:val="18"/>
          <w:szCs w:val="18"/>
          <w:color w:val="auto"/>
        </w:rPr>
      </w:pPr>
    </w:p>
    <w:p>
      <w:pPr>
        <w:ind w:left="-20" w:right="20" w:firstLine="408"/>
        <w:spacing w:after="0" w:line="253" w:lineRule="auto"/>
        <w:tabs>
          <w:tab w:leader="none" w:pos="68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Nature of Holders’ Obligations and Rights.</w:t>
      </w:r>
      <w:r>
        <w:rPr>
          <w:rFonts w:ascii="Times New Roman" w:cs="Times New Roman" w:eastAsia="Times New Roman" w:hAnsi="Times New Roman"/>
          <w:sz w:val="18"/>
          <w:szCs w:val="18"/>
          <w:color w:val="auto"/>
        </w:rPr>
        <w:t xml:space="preserve">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w:t>
      </w:r>
    </w:p>
    <w:p>
      <w:pPr>
        <w:spacing w:after="0" w:line="12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9980"/>
          </w:cols>
          <w:pgMar w:left="1440" w:top="270" w:right="479" w:bottom="1440" w:gutter="0" w:footer="0" w:header="0"/>
        </w:sectPr>
      </w:pPr>
    </w:p>
    <w:bookmarkStart w:id="75" w:name="page76"/>
    <w:bookmarkEnd w:id="75"/>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 so by any Holder. It is expressly understood and agreed that each provision contained in this Agreement is between the Company and a Holder, solely, and not between the Company and the Holders collectively and not between and among Holders.</w:t>
      </w:r>
    </w:p>
    <w:p>
      <w:pPr>
        <w:spacing w:after="0" w:line="162"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9960"/>
          </w:cols>
          <w:pgMar w:left="1420" w:top="270" w:right="5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Registration Rights Agreement as of the date first written above.</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RANI THERAPEUTICS HOLDINGS, INC.</w:t>
      </w: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OF HOLDERS FOLLOWS]</w:t>
      </w:r>
    </w:p>
    <w:p>
      <w:pPr>
        <w:sectPr>
          <w:pgSz w:w="11900" w:h="16838" w:orient="portrait"/>
          <w:cols w:equalWidth="0" w:num="1">
            <w:col w:w="9040"/>
          </w:cols>
          <w:pgMar w:left="1420" w:top="270" w:right="1439" w:bottom="1440" w:gutter="0" w:footer="0" w:header="0"/>
        </w:sectPr>
      </w:pPr>
    </w:p>
    <w:bookmarkStart w:id="77" w:name="page78"/>
    <w:bookmarkEnd w:id="77"/>
    <w:p>
      <w:pPr>
        <w:ind w:right="2539" w:firstLine="3534"/>
        <w:spacing w:after="0" w:line="49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PAGE OF HOLDERS TO RANI RRA] Name of Holder: __________________________</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Holder</w:t>
      </w:r>
      <w:r>
        <w:rPr>
          <w:rFonts w:ascii="Times New Roman" w:cs="Times New Roman" w:eastAsia="Times New Roman" w:hAnsi="Times New Roman"/>
          <w:sz w:val="18"/>
          <w:szCs w:val="18"/>
          <w:color w:val="auto"/>
        </w:rPr>
        <w:t>: 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w:t>
      </w:r>
    </w:p>
    <w:p>
      <w:pPr>
        <w:spacing w:after="0" w:line="22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[SIGNATURE PAGES CONTINUE]</w:t>
      </w:r>
    </w:p>
    <w:p>
      <w:pPr>
        <w:sectPr>
          <w:pgSz w:w="11900" w:h="16838" w:orient="portrait"/>
          <w:cols w:equalWidth="0" w:num="1">
            <w:col w:w="10019"/>
          </w:cols>
          <w:pgMar w:left="440" w:top="270" w:right="1440"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Plan of Distribution</w:t>
      </w:r>
    </w:p>
    <w:p>
      <w:pPr>
        <w:spacing w:after="0" w:line="22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Each Selling Stockholder (the “</w:t>
      </w:r>
      <w:r>
        <w:rPr>
          <w:rFonts w:ascii="Times New Roman" w:cs="Times New Roman" w:eastAsia="Times New Roman" w:hAnsi="Times New Roman"/>
          <w:sz w:val="18"/>
          <w:szCs w:val="18"/>
          <w:u w:val="single" w:color="auto"/>
          <w:color w:val="auto"/>
        </w:rPr>
        <w:t>Selling Stockholders</w:t>
      </w:r>
      <w:r>
        <w:rPr>
          <w:rFonts w:ascii="Times New Roman" w:cs="Times New Roman" w:eastAsia="Times New Roman" w:hAnsi="Times New Roman"/>
          <w:sz w:val="18"/>
          <w:szCs w:val="18"/>
          <w:color w:val="auto"/>
        </w:rPr>
        <w:t>”) of the securities and any of their pledgees,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85" w:lineRule="exact"/>
        <w:rPr>
          <w:sz w:val="20"/>
          <w:szCs w:val="20"/>
          <w:color w:val="auto"/>
        </w:rPr>
      </w:pPr>
    </w:p>
    <w:p>
      <w:pPr>
        <w:ind w:left="960" w:hanging="424"/>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960" w:right="440" w:hanging="424"/>
        <w:spacing w:after="0" w:line="282" w:lineRule="auto"/>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130"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Stockholders to sell a specified number of such securities at a stipulated price per security;</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if available, rather than under this prospectus.</w:t>
      </w:r>
    </w:p>
    <w:p>
      <w:pPr>
        <w:spacing w:after="0" w:line="162" w:lineRule="exact"/>
        <w:rPr>
          <w:sz w:val="20"/>
          <w:szCs w:val="20"/>
          <w:color w:val="auto"/>
        </w:rPr>
      </w:pPr>
    </w:p>
    <w:p>
      <w:pPr>
        <w:ind w:right="280" w:firstLine="440"/>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ectPr>
          <w:pgSz w:w="11900" w:h="16838" w:orient="portrait"/>
          <w:cols w:equalWidth="0" w:num="1">
            <w:col w:w="11020"/>
          </w:cols>
          <w:pgMar w:left="440" w:top="266" w:right="439" w:bottom="1440" w:gutter="0" w:footer="0" w:header="0"/>
        </w:sectPr>
      </w:pPr>
    </w:p>
    <w:bookmarkStart w:id="79" w:name="page80"/>
    <w:bookmarkEnd w:id="79"/>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89"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183"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securities offered by them will be the purchase price of the securities less discounts or commissions, if any. Each of the Selling Stockholders reserves the right to accept and, together with their agents from time to time, to reject, in whole or in part, any proposed purchase of securities to be made directly or through agents. We will not receive any of the proceeds from this offering. Upon any exercise of the warrants by payment of cash, however, we will receive the exercise price of the warrants.</w:t>
      </w:r>
    </w:p>
    <w:p>
      <w:pPr>
        <w:spacing w:after="0" w:line="180" w:lineRule="exact"/>
        <w:rPr>
          <w:sz w:val="20"/>
          <w:szCs w:val="20"/>
          <w:color w:val="auto"/>
        </w:rPr>
      </w:pPr>
    </w:p>
    <w:p>
      <w:pPr>
        <w:jc w:val="both"/>
        <w:ind w:right="260" w:firstLine="440"/>
        <w:spacing w:after="0" w:line="312" w:lineRule="auto"/>
        <w:rPr>
          <w:sz w:val="20"/>
          <w:szCs w:val="20"/>
          <w:color w:val="auto"/>
        </w:rPr>
      </w:pPr>
      <w:r>
        <w:rPr>
          <w:rFonts w:ascii="Times New Roman" w:cs="Times New Roman" w:eastAsia="Times New Roman" w:hAnsi="Times New Roman"/>
          <w:sz w:val="17"/>
          <w:szCs w:val="17"/>
          <w:color w:val="auto"/>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p>
    <w:p>
      <w:pPr>
        <w:spacing w:after="0" w:line="14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80" w:name="page81"/>
    <w:bookmarkEnd w:id="80"/>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The common stock being offered by the selling shareholders are those previously issued to the selling shareholders, and those issuable to the selling shareholders, upon exercise of the warrants. For additional information regarding the issuances of those shares of common stock and warrants, see “Private Placement of Shares of Common Stock and Warrants” above. We are registering the shares of common stock in order to permit the selling shareholders to offer the shares for resale from time to time. Except for the ownership of the shares of common stock and the warrants, the selling shareholders have not had any material relationship with us within the past three years.</w:t>
      </w:r>
    </w:p>
    <w:p>
      <w:pPr>
        <w:spacing w:after="0" w:line="183"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table below lists the selling shareholders and other information regarding the beneficial ownership of the shares of common stock by each of the selling shareholders. The second column lists the number of shares of common stock beneficially owned by each selling shareholder, based on its ownership of the shares of common stock and warrants, as of September 30, 2025, assuming exercise of the warrants held by the selling shareholders on that date, without regard to any limitations on exercises.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third column lists the shares of common stock being offered by this prospectus by the selling shareholders.</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In accordance with the terms of a registration rights agreement with the selling shareholders, this prospectus generally covers the resale of the sum of (i) the number of shares of common stock issued to the selling shareholders in the “Private Placement of Shares of Common Stock and Warrants” described above and (ii) the maximum number of shares of common stock issuable upon exercise of the related warrants, determined as if the outstanding warrants were exercised in full as of the trading day immediately preceding the date this registration statement was initially filed with the SEC, each as of the trading day immediately preceding the applicable date of determination and all subject to adjustment as provided in the registration right agreement, without regard to any limitations on the exercise of the warrants. The fourth column assumes the sale of all of the shares offered by the selling shareholders pursuant to this prospectus.</w:t>
      </w:r>
    </w:p>
    <w:p>
      <w:pPr>
        <w:spacing w:after="0" w:line="189" w:lineRule="exact"/>
        <w:rPr>
          <w:sz w:val="20"/>
          <w:szCs w:val="20"/>
          <w:color w:val="auto"/>
        </w:rPr>
      </w:pPr>
    </w:p>
    <w:p>
      <w:pPr>
        <w:ind w:right="220" w:firstLine="440"/>
        <w:spacing w:after="0" w:line="276" w:lineRule="auto"/>
        <w:rPr>
          <w:sz w:val="20"/>
          <w:szCs w:val="20"/>
          <w:color w:val="auto"/>
        </w:rPr>
      </w:pPr>
      <w:r>
        <w:rPr>
          <w:rFonts w:ascii="Times New Roman" w:cs="Times New Roman" w:eastAsia="Times New Roman" w:hAnsi="Times New Roman"/>
          <w:sz w:val="17"/>
          <w:szCs w:val="17"/>
          <w:color w:val="auto"/>
        </w:rPr>
        <w:t>Under the terms of the warrants, a selling shareholder may not exercise the warrants to the extent such exercise would cause such selling shareholder, together with its affiliates and attribution parties, to beneficially own a number of shares of common stock which would exceed 4.99% or</w:t>
      </w:r>
    </w:p>
    <w:p>
      <w:pPr>
        <w:spacing w:after="0" w:line="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9.99%, as applicable, of our then outstanding common stock following such exercise, excluding for purposes of such determination shares of common stock issuable upon exercise of such warrants which have not been exercised. The number of shares in the second and fourth columns do not reflect this limitation. The selling shareholders may sell all, some or none of their shares in this offering. See “Plan of Distribution.”</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6" w:right="4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500" w:type="dxa"/>
            <w:vAlign w:val="bottom"/>
            <w:gridSpan w:val="3"/>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Beneficial</w:t>
            </w:r>
          </w:p>
        </w:tc>
      </w:tr>
      <w:tr>
        <w:trPr>
          <w:trHeight w:val="173"/>
        </w:trPr>
        <w:tc>
          <w:tcPr>
            <w:tcW w:w="1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Beneficial</w:t>
            </w:r>
          </w:p>
        </w:tc>
        <w:tc>
          <w:tcPr>
            <w:tcW w:w="2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40" w:type="dxa"/>
            <w:vAlign w:val="bottom"/>
          </w:tcPr>
          <w:p>
            <w:pPr>
              <w:spacing w:after="0"/>
              <w:rPr>
                <w:sz w:val="15"/>
                <w:szCs w:val="15"/>
                <w:color w:val="auto"/>
              </w:rPr>
            </w:pPr>
          </w:p>
        </w:tc>
        <w:tc>
          <w:tcPr>
            <w:tcW w:w="2500" w:type="dxa"/>
            <w:vAlign w:val="bottom"/>
            <w:gridSpan w:val="3"/>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Ownership After</w:t>
            </w:r>
          </w:p>
        </w:tc>
      </w:tr>
      <w:tr>
        <w:trPr>
          <w:trHeight w:val="162"/>
        </w:trPr>
        <w:tc>
          <w:tcPr>
            <w:tcW w:w="1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Ownership Prior to</w:t>
            </w:r>
          </w:p>
        </w:tc>
        <w:tc>
          <w:tcPr>
            <w:tcW w:w="2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Shares Being</w:t>
            </w:r>
          </w:p>
        </w:tc>
        <w:tc>
          <w:tcPr>
            <w:tcW w:w="12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3"/>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this Offering</w:t>
            </w:r>
          </w:p>
        </w:tc>
      </w:tr>
      <w:tr>
        <w:trPr>
          <w:trHeight w:val="149"/>
        </w:trPr>
        <w:tc>
          <w:tcPr>
            <w:tcW w:w="17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Name of Selling Stockholder</w:t>
            </w:r>
          </w:p>
        </w:tc>
        <w:tc>
          <w:tcPr>
            <w:tcW w:w="800" w:type="dxa"/>
            <w:vAlign w:val="bottom"/>
          </w:tcPr>
          <w:p>
            <w:pPr>
              <w:spacing w:after="0"/>
              <w:rPr>
                <w:sz w:val="12"/>
                <w:szCs w:val="12"/>
                <w:color w:val="auto"/>
              </w:rPr>
            </w:pPr>
          </w:p>
        </w:tc>
        <w:tc>
          <w:tcPr>
            <w:tcW w:w="2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this Offering</w:t>
            </w:r>
          </w:p>
        </w:tc>
        <w:tc>
          <w:tcPr>
            <w:tcW w:w="100" w:type="dxa"/>
            <w:vAlign w:val="bottom"/>
          </w:tcPr>
          <w:p>
            <w:pPr>
              <w:spacing w:after="0"/>
              <w:rPr>
                <w:sz w:val="12"/>
                <w:szCs w:val="12"/>
                <w:color w:val="auto"/>
              </w:rPr>
            </w:pPr>
          </w:p>
        </w:tc>
        <w:tc>
          <w:tcPr>
            <w:tcW w:w="22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Offered</w:t>
            </w:r>
          </w:p>
        </w:tc>
        <w:tc>
          <w:tcPr>
            <w:tcW w:w="320" w:type="dxa"/>
            <w:vAlign w:val="bottom"/>
          </w:tcPr>
          <w:p>
            <w:pPr>
              <w:spacing w:after="0"/>
              <w:rPr>
                <w:sz w:val="12"/>
                <w:szCs w:val="12"/>
                <w:color w:val="auto"/>
              </w:rPr>
            </w:pPr>
          </w:p>
        </w:tc>
        <w:tc>
          <w:tcPr>
            <w:tcW w:w="1240" w:type="dxa"/>
            <w:vAlign w:val="bottom"/>
            <w:tcBorders>
              <w:bottom w:val="single" w:sz="8" w:color="auto"/>
            </w:tcBorders>
          </w:tcPr>
          <w:p>
            <w:pPr>
              <w:ind w:left="7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Borders>
              <w:bottom w:val="single" w:sz="8" w:color="auto"/>
            </w:tcBorders>
          </w:tcPr>
          <w:p>
            <w:pPr>
              <w:jc w:val="right"/>
              <w:ind w:right="7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51" w:right="4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C</w:t>
      </w:r>
    </w:p>
    <w:p>
      <w:pPr>
        <w:spacing w:after="0" w:line="200" w:lineRule="exact"/>
        <w:rPr>
          <w:sz w:val="20"/>
          <w:szCs w:val="20"/>
          <w:color w:val="auto"/>
        </w:rPr>
      </w:pPr>
    </w:p>
    <w:p>
      <w:pPr>
        <w:spacing w:after="0" w:line="24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11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Selling Stockholder Notice and Questionnaire</w:t>
      </w:r>
    </w:p>
    <w:p>
      <w:pPr>
        <w:spacing w:after="0" w:line="229" w:lineRule="exact"/>
        <w:rPr>
          <w:sz w:val="20"/>
          <w:szCs w:val="20"/>
          <w:color w:val="auto"/>
        </w:rPr>
      </w:pPr>
    </w:p>
    <w:p>
      <w:pPr>
        <w:ind w:right="280" w:firstLine="440"/>
        <w:spacing w:after="0" w:line="255" w:lineRule="auto"/>
        <w:rPr>
          <w:sz w:val="20"/>
          <w:szCs w:val="20"/>
          <w:color w:val="auto"/>
        </w:rPr>
      </w:pPr>
      <w:r>
        <w:rPr>
          <w:rFonts w:ascii="Times New Roman" w:cs="Times New Roman" w:eastAsia="Times New Roman" w:hAnsi="Times New Roman"/>
          <w:sz w:val="18"/>
          <w:szCs w:val="18"/>
          <w:color w:val="auto"/>
        </w:rPr>
        <w:t>The undersigned beneficial owner of common stock (the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of Rani Therapeutics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understands that the Company has filed or intends to file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 registration statement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for the registration and resale under Rule 415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of the Registrable Securities, in accordance with the terms of the Registration Rights Agreement (the “</w:t>
      </w: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to which this document is annexed. A copy of the Registration Rights Agreement is available from the Company upon request at the address set forth below. All capitalized terms not otherwise defined herein shall have the meanings ascribed thereto in the Registration Rights Agreement.</w:t>
      </w:r>
    </w:p>
    <w:p>
      <w:pPr>
        <w:spacing w:after="0" w:line="189"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Certain legal consequences arise from being named as a selling stockholder in the Registration Statement and the related prospectus. Accordingly, holders and beneficial owners of Registrable Securities are advised to consult their own securities law counsel regarding the consequences of being named or not being named as a selling stockholder in the Registration Statement and the related prospectus.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2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undersigned beneficial owner (the “</w:t>
      </w:r>
      <w:r>
        <w:rPr>
          <w:rFonts w:ascii="Times New Roman" w:cs="Times New Roman" w:eastAsia="Times New Roman" w:hAnsi="Times New Roman"/>
          <w:sz w:val="18"/>
          <w:szCs w:val="18"/>
          <w:u w:val="single" w:color="auto"/>
          <w:color w:val="auto"/>
        </w:rPr>
        <w:t>Selling Stockholder</w:t>
      </w:r>
      <w:r>
        <w:rPr>
          <w:rFonts w:ascii="Times New Roman" w:cs="Times New Roman" w:eastAsia="Times New Roman" w:hAnsi="Times New Roman"/>
          <w:sz w:val="18"/>
          <w:szCs w:val="18"/>
          <w:color w:val="auto"/>
        </w:rPr>
        <w:t>”) of Registrable Securities hereby elects to include the Registrable Securities owned by it in the Registration Statement.</w:t>
      </w:r>
    </w:p>
    <w:p>
      <w:pPr>
        <w:sectPr>
          <w:pgSz w:w="11900" w:h="16838" w:orient="portrait"/>
          <w:cols w:equalWidth="0" w:num="1">
            <w:col w:w="11020"/>
          </w:cols>
          <w:pgMar w:left="440" w:top="266" w:right="439" w:bottom="1440" w:gutter="0" w:footer="0" w:header="0"/>
        </w:sectPr>
      </w:pPr>
    </w:p>
    <w:bookmarkStart w:id="84" w:name="page85"/>
    <w:bookmarkEnd w:id="8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undersigned hereby provides the following information to the Company and represents and warrants that such information is accurate:</w:t>
      </w:r>
    </w:p>
    <w:p>
      <w:pPr>
        <w:spacing w:after="0" w:line="200" w:lineRule="exact"/>
        <w:rPr>
          <w:sz w:val="20"/>
          <w:szCs w:val="20"/>
          <w:color w:val="auto"/>
        </w:rPr>
      </w:pPr>
    </w:p>
    <w:p>
      <w:pPr>
        <w:spacing w:after="0" w:line="237" w:lineRule="exact"/>
        <w:rPr>
          <w:sz w:val="20"/>
          <w:szCs w:val="20"/>
          <w:color w:val="auto"/>
        </w:rPr>
      </w:pPr>
    </w:p>
    <w:p>
      <w:pPr>
        <w:jc w:val="center"/>
        <w:ind w:right="-223"/>
        <w:spacing w:after="0"/>
        <w:rPr>
          <w:sz w:val="20"/>
          <w:szCs w:val="20"/>
          <w:color w:val="auto"/>
        </w:rPr>
      </w:pPr>
      <w:r>
        <w:rPr>
          <w:rFonts w:ascii="Times New Roman" w:cs="Times New Roman" w:eastAsia="Times New Roman" w:hAnsi="Times New Roman"/>
          <w:sz w:val="18"/>
          <w:szCs w:val="18"/>
          <w:b w:val="1"/>
          <w:bCs w:val="1"/>
          <w:color w:val="auto"/>
        </w:rPr>
        <w:t>QUESTIONNAIRE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1. Name.</w:t>
      </w:r>
    </w:p>
    <w:p>
      <w:pPr>
        <w:spacing w:after="0" w:line="135" w:lineRule="exact"/>
        <w:rPr>
          <w:sz w:val="20"/>
          <w:szCs w:val="20"/>
          <w:color w:val="auto"/>
        </w:rPr>
      </w:pPr>
    </w:p>
    <w:p>
      <w:pPr>
        <w:ind w:left="4"/>
        <w:spacing w:after="0"/>
        <w:tabs>
          <w:tab w:leader="none" w:pos="504" w:val="left"/>
          <w:tab w:leader="none" w:pos="1064" w:val="left"/>
        </w:tabs>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Full Legal Name of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694055</wp:posOffset>
            </wp:positionH>
            <wp:positionV relativeFrom="paragraph">
              <wp:posOffset>222885</wp:posOffset>
            </wp:positionV>
            <wp:extent cx="6300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24"/>
        <w:spacing w:after="0"/>
        <w:rPr>
          <w:sz w:val="20"/>
          <w:szCs w:val="20"/>
          <w:color w:val="auto"/>
        </w:rPr>
      </w:pPr>
      <w:r>
        <w:rPr>
          <w:rFonts w:ascii="Times New Roman" w:cs="Times New Roman" w:eastAsia="Times New Roman" w:hAnsi="Times New Roman"/>
          <w:sz w:val="18"/>
          <w:szCs w:val="18"/>
          <w:color w:val="auto"/>
        </w:rPr>
        <w:t>(b)       Full Legal Name of Registered Holder (if not the same as (a) above) through which Registrable Securities are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694055</wp:posOffset>
            </wp:positionH>
            <wp:positionV relativeFrom="paragraph">
              <wp:posOffset>222885</wp:posOffset>
            </wp:positionV>
            <wp:extent cx="6300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4" w:hanging="566"/>
        <w:spacing w:after="0" w:line="282" w:lineRule="auto"/>
        <w:rPr>
          <w:sz w:val="20"/>
          <w:szCs w:val="20"/>
          <w:color w:val="auto"/>
        </w:rPr>
      </w:pPr>
      <w:r>
        <w:rPr>
          <w:rFonts w:ascii="Times New Roman" w:cs="Times New Roman" w:eastAsia="Times New Roman" w:hAnsi="Times New Roman"/>
          <w:sz w:val="18"/>
          <w:szCs w:val="18"/>
          <w:color w:val="auto"/>
        </w:rPr>
        <w:t>(c)     Full Legal Name of Natural Control Person (which means a natural person who directly or indirectly alone or with others has power to vote or dispose of the securities covered by this 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694055</wp:posOffset>
            </wp:positionH>
            <wp:positionV relativeFrom="paragraph">
              <wp:posOffset>182880</wp:posOffset>
            </wp:positionV>
            <wp:extent cx="6300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385" w:lineRule="exact"/>
        <w:rPr>
          <w:sz w:val="20"/>
          <w:szCs w:val="20"/>
          <w:color w:val="auto"/>
        </w:rPr>
      </w:pPr>
    </w:p>
    <w:p>
      <w:pPr>
        <w:ind w:left="1084" w:right="200" w:hanging="558"/>
        <w:spacing w:after="0" w:line="282" w:lineRule="auto"/>
        <w:tabs>
          <w:tab w:leader="none" w:pos="108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Footnote for Selling Stockholders table in Registration Statement (leave blank if you would like counsel to draft based on the above information):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for Notices to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694055</wp:posOffset>
            </wp:positionH>
            <wp:positionV relativeFrom="paragraph">
              <wp:posOffset>-339725</wp:posOffset>
            </wp:positionV>
            <wp:extent cx="6300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722630</wp:posOffset>
            </wp:positionV>
            <wp:extent cx="66433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43370" cy="8890"/>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516890</wp:posOffset>
            </wp:positionV>
            <wp:extent cx="66433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311150</wp:posOffset>
            </wp:positionV>
            <wp:extent cx="66433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43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891540</wp:posOffset>
            </wp:positionH>
            <wp:positionV relativeFrom="paragraph">
              <wp:posOffset>17145</wp:posOffset>
            </wp:positionV>
            <wp:extent cx="61036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pacing w:after="0" w:line="11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754380</wp:posOffset>
            </wp:positionH>
            <wp:positionV relativeFrom="paragraph">
              <wp:posOffset>17145</wp:posOffset>
            </wp:positionV>
            <wp:extent cx="62407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40780" cy="8890"/>
                    </a:xfrm>
                    <a:prstGeom prst="rect">
                      <a:avLst/>
                    </a:prstGeom>
                    <a:noFill/>
                  </pic:spPr>
                </pic:pic>
              </a:graphicData>
            </a:graphic>
          </wp:anchor>
        </w:drawing>
      </w:r>
    </w:p>
    <w:p>
      <w:pPr>
        <w:spacing w:after="0" w:line="11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1156970</wp:posOffset>
            </wp:positionH>
            <wp:positionV relativeFrom="paragraph">
              <wp:posOffset>17145</wp:posOffset>
            </wp:positionV>
            <wp:extent cx="58375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37555" cy="8890"/>
                    </a:xfrm>
                    <a:prstGeom prst="rect">
                      <a:avLst/>
                    </a:prstGeom>
                    <a:noFill/>
                  </pic:spPr>
                </pic:pic>
              </a:graphicData>
            </a:graphic>
          </wp:anchor>
        </w:drawing>
      </w:r>
    </w:p>
    <w:p>
      <w:pPr>
        <w:spacing w:after="0" w:line="323" w:lineRule="exact"/>
        <w:rPr>
          <w:sz w:val="20"/>
          <w:szCs w:val="20"/>
          <w:color w:val="auto"/>
        </w:rPr>
      </w:pPr>
    </w:p>
    <w:p>
      <w:pPr>
        <w:ind w:left="184" w:hanging="184"/>
        <w:spacing w:after="0"/>
        <w:tabs>
          <w:tab w:leader="none" w:pos="184"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Beneficial Ownership of Registrable Securities:</w:t>
      </w:r>
    </w:p>
    <w:p>
      <w:pPr>
        <w:spacing w:after="0" w:line="134" w:lineRule="exact"/>
        <w:rPr>
          <w:rFonts w:ascii="Times New Roman" w:cs="Times New Roman" w:eastAsia="Times New Roman" w:hAnsi="Times New Roman"/>
          <w:sz w:val="18"/>
          <w:szCs w:val="18"/>
          <w:b w:val="1"/>
          <w:bCs w:val="1"/>
          <w:color w:val="auto"/>
        </w:rPr>
      </w:pPr>
    </w:p>
    <w:p>
      <w:pPr>
        <w:ind w:left="964" w:right="80" w:hanging="532"/>
        <w:spacing w:after="0" w:line="282" w:lineRule="auto"/>
        <w:tabs>
          <w:tab w:leader="none" w:pos="96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shares of Common Stock to be beneficially owned as September 30, 2025 (including shares of Common Stock that the undersigned has the right to acquire beneficial ownership, as specified in Rule 13d-3(d)(1)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702945</wp:posOffset>
            </wp:positionH>
            <wp:positionV relativeFrom="paragraph">
              <wp:posOffset>680085</wp:posOffset>
            </wp:positionV>
            <wp:extent cx="62922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474345</wp:posOffset>
            </wp:positionV>
            <wp:extent cx="62922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268605</wp:posOffset>
            </wp:positionV>
            <wp:extent cx="62922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84"/>
          </w:cols>
          <w:pgMar w:left="436" w:top="270" w:right="679" w:bottom="1440" w:gutter="0" w:footer="0" w:header="0"/>
        </w:sectPr>
      </w:pPr>
    </w:p>
    <w:bookmarkStart w:id="85" w:name="page86"/>
    <w:bookmarkEnd w:id="85"/>
    <w:p>
      <w:pPr>
        <w:ind w:left="964" w:right="160" w:hanging="532"/>
        <w:spacing w:after="0" w:line="282" w:lineRule="auto"/>
        <w:tabs>
          <w:tab w:leader="none" w:pos="96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Number of shares of Common Stock that will qualify as Registrable Securities under the Registration Rights Agreements to be registered pursuant to this Questionnaire for resale: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4"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Broker-Dealer Status:</w:t>
      </w:r>
    </w:p>
    <w:p>
      <w:pPr>
        <w:spacing w:after="0" w:line="134"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 broker-dealer? If “no” to Item 4(a), please skip ahead to Item 4(d).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702945</wp:posOffset>
            </wp:positionH>
            <wp:positionV relativeFrom="paragraph">
              <wp:posOffset>-548005</wp:posOffset>
            </wp:positionV>
            <wp:extent cx="62922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-753745</wp:posOffset>
            </wp:positionV>
            <wp:extent cx="62922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-959485</wp:posOffset>
            </wp:positionV>
            <wp:extent cx="62922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56" w:lineRule="exact"/>
        <w:rPr>
          <w:sz w:val="20"/>
          <w:szCs w:val="20"/>
          <w:color w:val="auto"/>
        </w:rPr>
      </w:pPr>
    </w:p>
    <w:p>
      <w:pPr>
        <w:jc w:val="center"/>
        <w:ind w:right="-23"/>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left="4924" w:right="320" w:hanging="4492"/>
        <w:spacing w:after="0" w:line="293" w:lineRule="exact"/>
        <w:tabs>
          <w:tab w:leader="none" w:pos="97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“yes” to Section 4(a), did you receive your Registrable Securities as compensation for investment banking services to the Company?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rFonts w:ascii="Times New Roman" w:cs="Times New Roman" w:eastAsia="Times New Roman" w:hAnsi="Times New Roman"/>
          <w:sz w:val="18"/>
          <w:szCs w:val="18"/>
          <w:color w:val="auto"/>
        </w:rPr>
      </w:pPr>
    </w:p>
    <w:p>
      <w:pPr>
        <w:ind w:left="964" w:hanging="532"/>
        <w:spacing w:after="0" w:line="282" w:lineRule="auto"/>
        <w:tabs>
          <w:tab w:leader="none" w:pos="96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to Section 4(b), the Commission’s staff has indicated that you may be identified as an underwriter in the Registration Statement and related Prospectus. Do you believe that you should not be named as an underwriter?</w:t>
      </w:r>
    </w:p>
    <w:p>
      <w:pPr>
        <w:spacing w:after="0" w:line="13" w:lineRule="exact"/>
        <w:rPr>
          <w:sz w:val="20"/>
          <w:szCs w:val="20"/>
          <w:color w:val="auto"/>
        </w:rPr>
      </w:pPr>
    </w:p>
    <w:p>
      <w:pPr>
        <w:jc w:val="center"/>
        <w:ind w:right="-23"/>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0"/>
          <w:szCs w:val="20"/>
          <w:color w:val="auto"/>
        </w:rPr>
      </w:pPr>
    </w:p>
    <w:p>
      <w:pPr>
        <w:jc w:val="center"/>
        <w:ind w:right="176"/>
        <w:spacing w:after="0"/>
        <w:rPr>
          <w:sz w:val="20"/>
          <w:szCs w:val="20"/>
          <w:color w:val="auto"/>
        </w:rPr>
      </w:pPr>
      <w:r>
        <w:rPr>
          <w:rFonts w:ascii="Times New Roman" w:cs="Times New Roman" w:eastAsia="Times New Roman" w:hAnsi="Times New Roman"/>
          <w:sz w:val="18"/>
          <w:szCs w:val="18"/>
          <w:color w:val="auto"/>
        </w:rPr>
        <w:t>If you answered yes, please explain why that is the case. You may append a response to this questionnaire for this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702945</wp:posOffset>
            </wp:positionH>
            <wp:positionV relativeFrom="paragraph">
              <wp:posOffset>643255</wp:posOffset>
            </wp:positionV>
            <wp:extent cx="62922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437515</wp:posOffset>
            </wp:positionV>
            <wp:extent cx="62922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231775</wp:posOffset>
            </wp:positionV>
            <wp:extent cx="62922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924" w:right="3260" w:hanging="4492"/>
        <w:spacing w:after="0" w:line="293" w:lineRule="exact"/>
        <w:tabs>
          <w:tab w:leader="none" w:pos="97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Are you an affiliate of a broker-dealer? If “no” to Section 3(d), please skip ahead to Section 5.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3" w:lineRule="exact"/>
        <w:rPr>
          <w:rFonts w:ascii="Times New Roman" w:cs="Times New Roman" w:eastAsia="Times New Roman" w:hAnsi="Times New Roman"/>
          <w:sz w:val="18"/>
          <w:szCs w:val="18"/>
          <w:color w:val="auto"/>
        </w:rPr>
      </w:pPr>
    </w:p>
    <w:p>
      <w:pPr>
        <w:ind w:left="54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86" w:name="page87"/>
    <w:bookmarkEnd w:id="86"/>
    <w:p>
      <w:pPr>
        <w:ind w:left="960" w:hanging="532"/>
        <w:spacing w:after="0" w:line="266" w:lineRule="auto"/>
        <w:tabs>
          <w:tab w:leader="none" w:pos="9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27"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0"/>
          <w:szCs w:val="20"/>
          <w:color w:val="auto"/>
        </w:rPr>
      </w:pPr>
    </w:p>
    <w:p>
      <w:pPr>
        <w:ind w:left="960" w:right="40" w:hanging="532"/>
        <w:spacing w:after="0" w:line="282" w:lineRule="auto"/>
        <w:tabs>
          <w:tab w:leader="none" w:pos="9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to Section 4(e), the Commission’s staff has indicated that you may be identified as an underwriter in the Registration Statement. Do you believe that you should not be named as an underwriter?</w:t>
      </w:r>
    </w:p>
    <w:p>
      <w:pPr>
        <w:spacing w:after="0" w:line="13"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If you answered yes, please explain why that is the case. You may append a response to this questionnaire for this purpose.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Beneficial Ownership of Securities of the Company Owned by the Selling Stockholder.</w:t>
      </w:r>
    </w:p>
    <w:p>
      <w:pPr>
        <w:spacing w:after="0" w:line="119" w:lineRule="exact"/>
        <w:rPr>
          <w:sz w:val="20"/>
          <w:szCs w:val="20"/>
          <w:color w:val="auto"/>
        </w:rPr>
      </w:pPr>
    </w:p>
    <w:p>
      <w:pPr>
        <w:ind w:left="440" w:right="160"/>
        <w:spacing w:after="0" w:line="284" w:lineRule="auto"/>
        <w:rPr>
          <w:sz w:val="20"/>
          <w:szCs w:val="20"/>
          <w:color w:val="auto"/>
        </w:rPr>
      </w:pPr>
      <w:r>
        <w:rPr>
          <w:rFonts w:ascii="Times New Roman" w:cs="Times New Roman" w:eastAsia="Times New Roman" w:hAnsi="Times New Roman"/>
          <w:sz w:val="18"/>
          <w:szCs w:val="18"/>
          <w:i w:val="1"/>
          <w:iCs w:val="1"/>
          <w:color w:val="auto"/>
        </w:rPr>
        <w:t>Except as set forth below in this Item 5, the undersigned is not the beneficial or registered owner of any securities of the Company other than the securities issuable pursuant to the Purchase Agreement.</w:t>
      </w:r>
    </w:p>
    <w:p>
      <w:pPr>
        <w:spacing w:after="0" w:line="66" w:lineRule="exact"/>
        <w:rPr>
          <w:sz w:val="20"/>
          <w:szCs w:val="20"/>
          <w:color w:val="auto"/>
        </w:rPr>
      </w:pPr>
    </w:p>
    <w:p>
      <w:pPr>
        <w:ind w:left="960" w:hanging="532"/>
        <w:spacing w:after="0"/>
        <w:tabs>
          <w:tab w:leader="none" w:pos="9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and Amount of other securities beneficially owned by the Selling Stockholder as of September 30, 2025:</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8" w:lineRule="exact"/>
        <w:rPr>
          <w:rFonts w:ascii="Times New Roman" w:cs="Times New Roman" w:eastAsia="Times New Roman" w:hAnsi="Times New Roman"/>
          <w:sz w:val="18"/>
          <w:szCs w:val="18"/>
          <w:color w:val="auto"/>
        </w:rPr>
      </w:pPr>
    </w:p>
    <w:p>
      <w:pPr>
        <w:ind w:left="5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-222250</wp:posOffset>
            </wp:positionV>
            <wp:extent cx="62922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-427990</wp:posOffset>
            </wp:positionV>
            <wp:extent cx="62922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-633730</wp:posOffset>
            </wp:positionV>
            <wp:extent cx="629221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 Relationships with the Company:</w:t>
      </w:r>
    </w:p>
    <w:p>
      <w:pPr>
        <w:spacing w:after="0" w:line="119" w:lineRule="exact"/>
        <w:rPr>
          <w:sz w:val="20"/>
          <w:szCs w:val="20"/>
          <w:color w:val="auto"/>
        </w:rPr>
      </w:pPr>
    </w:p>
    <w:p>
      <w:pPr>
        <w:ind w:left="440" w:right="20"/>
        <w:spacing w:after="0" w:line="267" w:lineRule="auto"/>
        <w:rPr>
          <w:sz w:val="20"/>
          <w:szCs w:val="20"/>
          <w:color w:val="auto"/>
        </w:rPr>
      </w:pPr>
      <w:r>
        <w:rPr>
          <w:rFonts w:ascii="Times New Roman" w:cs="Times New Roman" w:eastAsia="Times New Roman" w:hAnsi="Times New Roman"/>
          <w:sz w:val="18"/>
          <w:szCs w:val="18"/>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720090</wp:posOffset>
            </wp:positionV>
            <wp:extent cx="66433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514350</wp:posOffset>
            </wp:positionV>
            <wp:extent cx="66433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308610</wp:posOffset>
            </wp:positionV>
            <wp:extent cx="66433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643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Plan of Distribution:</w:t>
      </w:r>
    </w:p>
    <w:p>
      <w:pPr>
        <w:spacing w:after="0" w:line="119" w:lineRule="exact"/>
        <w:rPr>
          <w:sz w:val="20"/>
          <w:szCs w:val="20"/>
          <w:color w:val="auto"/>
        </w:rPr>
      </w:pPr>
    </w:p>
    <w:p>
      <w:pPr>
        <w:ind w:left="440" w:right="100"/>
        <w:spacing w:after="0" w:line="267" w:lineRule="auto"/>
        <w:rPr>
          <w:sz w:val="20"/>
          <w:szCs w:val="20"/>
          <w:color w:val="auto"/>
        </w:rPr>
      </w:pPr>
      <w:r>
        <w:rPr>
          <w:rFonts w:ascii="Times New Roman" w:cs="Times New Roman" w:eastAsia="Times New Roman" w:hAnsi="Times New Roman"/>
          <w:sz w:val="18"/>
          <w:szCs w:val="18"/>
          <w:i w:val="1"/>
          <w:iCs w:val="1"/>
          <w:color w:val="auto"/>
        </w:rPr>
        <w:t>The undersigned has reviewed the form of Plan of Distribution to be included in the Prospectus, a copy of which is attached as Annex A to the Registration Rights Agreement, and hereby confirms that, except as set forth below, the information contained therein regarding the undersigned and its plan of distribution is correct and complete.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720090</wp:posOffset>
            </wp:positionV>
            <wp:extent cx="66433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514350</wp:posOffset>
            </wp:positionV>
            <wp:extent cx="66433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308610</wp:posOffset>
            </wp:positionV>
            <wp:extent cx="66433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643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spacing w:after="0" w:line="176"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By signing below, the undersigned consents to the disclosure of the information contained herein in its answers to Items 1 through 7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by authority duly given, has caused this Notice and Questionnaire to be executed and delivered either in person or by its duly authorized agent.</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440" w:top="266" w:right="519" w:bottom="1440" w:gutter="0" w:footer="0" w:header="0"/>
        </w:sectPr>
      </w:pPr>
    </w:p>
    <w:bookmarkStart w:id="88" w:name="page89"/>
    <w:bookmarkEnd w:id="88"/>
    <w:p>
      <w:pPr>
        <w:spacing w:after="0"/>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w:t>
      </w:r>
      <w:r>
        <w:rPr>
          <w:sz w:val="20"/>
          <w:szCs w:val="20"/>
          <w:color w:val="auto"/>
        </w:rPr>
        <w:tab/>
      </w:r>
      <w:r>
        <w:rPr>
          <w:rFonts w:ascii="Times New Roman" w:cs="Times New Roman" w:eastAsia="Times New Roman" w:hAnsi="Times New Roman"/>
          <w:sz w:val="17"/>
          <w:szCs w:val="17"/>
          <w:b w:val="1"/>
          <w:bCs w:val="1"/>
          <w:color w:val="auto"/>
        </w:rPr>
        <w:t>BENEFICIAL OWNER:</w:t>
      </w:r>
    </w:p>
    <w:p>
      <w:pPr>
        <w:spacing w:after="0" w:line="200" w:lineRule="exact"/>
        <w:rPr>
          <w:sz w:val="20"/>
          <w:szCs w:val="20"/>
          <w:color w:val="auto"/>
        </w:rPr>
      </w:pPr>
    </w:p>
    <w:p>
      <w:pPr>
        <w:spacing w:after="0" w:line="2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Name of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-127635</wp:posOffset>
            </wp:positionV>
            <wp:extent cx="24860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-127635</wp:posOffset>
            </wp:positionV>
            <wp:extent cx="24860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Name (if stockholder is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-127635</wp:posOffset>
            </wp:positionV>
            <wp:extent cx="24860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Title (if stockholder is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-127635</wp:posOffset>
            </wp:positionV>
            <wp:extent cx="24860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0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PLEASE EMAIL A .PDF COPY OF THE COMPLETED AND EXECUTED NOTICE AND QUESTIONNAIRE TO: Toye Oyewole (toyewole@cooley.com) of Cooley LLP.</w:t>
      </w:r>
    </w:p>
    <w:p>
      <w:pPr>
        <w:spacing w:after="0" w:line="9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160"/>
          </w:cols>
          <w:pgMar w:left="440" w:top="266" w:right="1299" w:bottom="1440" w:gutter="0" w:footer="0" w:header="0"/>
        </w:sectPr>
      </w:pPr>
    </w:p>
    <w:bookmarkStart w:id="89" w:name="page90"/>
    <w:bookmarkEnd w:id="89"/>
    <w:p>
      <w:pPr>
        <w:ind w:left="10080"/>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PURCHASE WARRANT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ectPr>
          <w:pgSz w:w="11900" w:h="16838" w:orient="portrait"/>
          <w:cols w:equalWidth="0" w:num="1">
            <w:col w:w="11020"/>
          </w:cols>
          <w:pgMar w:left="440" w:top="117" w:right="43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[_______]</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Original Issue Date: [_______], 2025</w:t>
      </w:r>
    </w:p>
    <w:p>
      <w:pPr>
        <w:spacing w:after="0" w:line="200" w:lineRule="exact"/>
        <w:rPr>
          <w:sz w:val="20"/>
          <w:szCs w:val="20"/>
          <w:color w:val="auto"/>
        </w:rPr>
      </w:pPr>
    </w:p>
    <w:p>
      <w:pPr>
        <w:sectPr>
          <w:pgSz w:w="11900" w:h="16838" w:orient="portrait"/>
          <w:cols w:equalWidth="0" w:num="2">
            <w:col w:w="5020" w:space="720"/>
            <w:col w:w="5280"/>
          </w:cols>
          <w:pgMar w:left="440" w:top="117" w:right="439" w:bottom="1440" w:gutter="0" w:footer="0" w:header="0"/>
          <w:type w:val="continuous"/>
        </w:sectPr>
      </w:pPr>
    </w:p>
    <w:p>
      <w:pPr>
        <w:spacing w:after="0" w:line="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THIS COMMON STOCK PURCHASE WARRANT (the “</w:t>
      </w:r>
      <w:r>
        <w:rPr>
          <w:rFonts w:ascii="Times New Roman" w:cs="Times New Roman" w:eastAsia="Times New Roman" w:hAnsi="Times New Roman"/>
          <w:sz w:val="17"/>
          <w:szCs w:val="17"/>
          <w:u w:val="single" w:color="auto"/>
          <w:color w:val="auto"/>
        </w:rPr>
        <w:t>Warrant</w:t>
      </w:r>
      <w:r>
        <w:rPr>
          <w:rFonts w:ascii="Times New Roman" w:cs="Times New Roman" w:eastAsia="Times New Roman" w:hAnsi="Times New Roman"/>
          <w:sz w:val="17"/>
          <w:szCs w:val="17"/>
          <w:color w:val="auto"/>
        </w:rPr>
        <w:t>”) certifies that, for value received, [_____________] or its assigns (the</w:t>
      </w:r>
    </w:p>
    <w:p>
      <w:pPr>
        <w:spacing w:after="0" w:line="39" w:lineRule="exact"/>
        <w:rPr>
          <w:sz w:val="20"/>
          <w:szCs w:val="20"/>
          <w:color w:val="auto"/>
        </w:rPr>
      </w:pPr>
    </w:p>
    <w:p>
      <w:pPr>
        <w:ind w:right="640"/>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is entitled, upon the terms and subject to the limitations on exercise and the conditions hereinafter set forth, at any time on or after the effective date of the Stockholder Approval (the “</w:t>
      </w:r>
      <w:r>
        <w:rPr>
          <w:rFonts w:ascii="Times New Roman" w:cs="Times New Roman" w:eastAsia="Times New Roman" w:hAnsi="Times New Roman"/>
          <w:sz w:val="17"/>
          <w:szCs w:val="17"/>
          <w:u w:val="single" w:color="auto"/>
          <w:color w:val="auto"/>
        </w:rPr>
        <w:t>Initial Exercise Date</w:t>
      </w:r>
      <w:r>
        <w:rPr>
          <w:rFonts w:ascii="Times New Roman" w:cs="Times New Roman" w:eastAsia="Times New Roman" w:hAnsi="Times New Roman"/>
          <w:sz w:val="17"/>
          <w:szCs w:val="17"/>
          <w:color w:val="auto"/>
        </w:rPr>
        <w:t>”) and on or prior to 5:00 p.m. (New York City time) on [____], 2030 (the</w:t>
      </w:r>
    </w:p>
    <w:p>
      <w:pPr>
        <w:ind w:right="140"/>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but not thereafter, to subscribe for and purchase from Rani Therapeutics Holdings,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up to [______] shares (as subject to adjustment hereunder, the “</w:t>
      </w:r>
      <w:r>
        <w:rPr>
          <w:rFonts w:ascii="Times New Roman" w:cs="Times New Roman" w:eastAsia="Times New Roman" w:hAnsi="Times New Roman"/>
          <w:sz w:val="17"/>
          <w:szCs w:val="17"/>
          <w:u w:val="single" w:color="auto"/>
          <w:color w:val="auto"/>
        </w:rPr>
        <w:t>Warrant Shares</w:t>
      </w:r>
      <w:r>
        <w:rPr>
          <w:rFonts w:ascii="Times New Roman" w:cs="Times New Roman" w:eastAsia="Times New Roman" w:hAnsi="Times New Roman"/>
          <w:sz w:val="17"/>
          <w:szCs w:val="17"/>
          <w:color w:val="auto"/>
        </w:rPr>
        <w:t>”) of Class A Common Stock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or in lieu</w:t>
      </w:r>
    </w:p>
    <w:p>
      <w:pPr>
        <w:ind w:right="280"/>
        <w:spacing w:after="0" w:line="260" w:lineRule="auto"/>
        <w:rPr>
          <w:sz w:val="20"/>
          <w:szCs w:val="20"/>
          <w:color w:val="auto"/>
        </w:rPr>
      </w:pPr>
      <w:r>
        <w:rPr>
          <w:rFonts w:ascii="Times New Roman" w:cs="Times New Roman" w:eastAsia="Times New Roman" w:hAnsi="Times New Roman"/>
          <w:sz w:val="18"/>
          <w:szCs w:val="18"/>
          <w:color w:val="auto"/>
        </w:rPr>
        <w:t>thereof, Pre-Funded Warrants to purchase the same number of Warrant Shares. The purchase price of one share of Common Stock under this Warrant shall be equal to the Exercise Price, as defined in Section 2(b).</w:t>
      </w:r>
    </w:p>
    <w:p>
      <w:pPr>
        <w:spacing w:after="0" w:line="181" w:lineRule="exact"/>
        <w:rPr>
          <w:sz w:val="20"/>
          <w:szCs w:val="20"/>
          <w:color w:val="auto"/>
        </w:rPr>
      </w:pPr>
    </w:p>
    <w:p>
      <w:pPr>
        <w:ind w:right="680" w:firstLine="440"/>
        <w:spacing w:after="0" w:line="312" w:lineRule="auto"/>
        <w:rPr>
          <w:sz w:val="20"/>
          <w:szCs w:val="20"/>
          <w:color w:val="auto"/>
        </w:rPr>
      </w:pPr>
      <w:r>
        <w:rPr>
          <w:rFonts w:ascii="Times New Roman" w:cs="Times New Roman" w:eastAsia="Times New Roman" w:hAnsi="Times New Roman"/>
          <w:sz w:val="17"/>
          <w:szCs w:val="17"/>
          <w:u w:val="single" w:color="auto"/>
          <w:color w:val="auto"/>
        </w:rPr>
        <w:t>Section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7"/>
          <w:szCs w:val="17"/>
          <w:u w:val="single" w:color="auto"/>
          <w:color w:val="auto"/>
        </w:rPr>
        <w:t>Purchase Agreement</w:t>
      </w:r>
      <w:r>
        <w:rPr>
          <w:rFonts w:ascii="Times New Roman" w:cs="Times New Roman" w:eastAsia="Times New Roman" w:hAnsi="Times New Roman"/>
          <w:sz w:val="17"/>
          <w:szCs w:val="17"/>
          <w:color w:val="auto"/>
        </w:rPr>
        <w:t>”), dated October 16, 2025, among the Company and the purchasers signatory thereto.</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419"/>
        <w:spacing w:after="0" w:line="266" w:lineRule="auto"/>
        <w:tabs>
          <w:tab w:leader="none" w:pos="104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Within the earlier of (i) one</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type w:val="continuous"/>
        </w:sectPr>
      </w:pPr>
    </w:p>
    <w:bookmarkStart w:id="90" w:name="page91"/>
    <w:bookmarkEnd w:id="90"/>
    <w:p>
      <w:pPr>
        <w:ind w:left="4" w:hanging="4"/>
        <w:spacing w:after="0" w:line="252" w:lineRule="auto"/>
        <w:tabs>
          <w:tab w:leader="none" w:pos="25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Trading Day and (ii) the number of Trading Days comprising the Standard Settlement Period (as defined in Section 2(d)(i) herein) following the date of exercise as aforesaid, the Holder shall deliver the aggregate Exercise Price for the Warrant Shares or Pre-Funded Warrants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Trading Day of receipt of such notice. </w:t>
      </w:r>
      <w:r>
        <w:rPr>
          <w:rFonts w:ascii="Times New Roman" w:cs="Times New Roman" w:eastAsia="Times New Roman" w:hAnsi="Times New Roman"/>
          <w:sz w:val="18"/>
          <w:szCs w:val="18"/>
          <w:b w:val="1"/>
          <w:bCs w:val="1"/>
          <w:color w:val="auto"/>
        </w:rPr>
        <w:t>The Holder and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assignee, by acceptance of this Warrant, acknowledge and agree that, by reason of the provisions of this paragraph, following the purchase of a portion of the Warrant Shares or Pre-Funded Warrants hereunder, the number of Warrant Shares or Pre-Funded Warrants available for purchase hereunder at any given time may be less than the amount stated on the face hereof.</w:t>
      </w:r>
    </w:p>
    <w:p>
      <w:pPr>
        <w:spacing w:after="0" w:line="87" w:lineRule="exact"/>
        <w:rPr>
          <w:rFonts w:ascii="Times New Roman" w:cs="Times New Roman" w:eastAsia="Times New Roman" w:hAnsi="Times New Roman"/>
          <w:sz w:val="18"/>
          <w:szCs w:val="18"/>
          <w:color w:val="auto"/>
        </w:rPr>
      </w:pPr>
    </w:p>
    <w:p>
      <w:pPr>
        <w:ind w:left="4" w:right="20" w:firstLine="419"/>
        <w:spacing w:after="0" w:line="258" w:lineRule="auto"/>
        <w:tabs>
          <w:tab w:leader="none" w:pos="621"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Common Stock under this Warrant shall be $0.48 if this Warrant is being exercised for Common Stock, or $0.4799 if this Warrant is being exercised for Pre-Funded Warrants,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may only be paid in cash, unless at the time of exercise there is no effective registration statement registering and the prospectus contained therein is not available for the resale of the Warrant Shares by the Holder, then this Warrant may be exercised pursuant to the “cashless exercise” provisions of Section 2(c) below.</w:t>
      </w:r>
    </w:p>
    <w:p>
      <w:pPr>
        <w:spacing w:after="0" w:line="75" w:lineRule="exact"/>
        <w:rPr>
          <w:rFonts w:ascii="Times New Roman" w:cs="Times New Roman" w:eastAsia="Times New Roman" w:hAnsi="Times New Roman"/>
          <w:sz w:val="18"/>
          <w:szCs w:val="18"/>
          <w:color w:val="auto"/>
        </w:rPr>
      </w:pPr>
    </w:p>
    <w:p>
      <w:pPr>
        <w:jc w:val="both"/>
        <w:ind w:left="4" w:right="100" w:firstLine="419"/>
        <w:spacing w:after="0" w:line="261" w:lineRule="auto"/>
        <w:tabs>
          <w:tab w:leader="none" w:pos="611"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or Pre-Funded Warrants equal to the quotient obtained by dividing [(A-B) (X)] by (A), where:</w:t>
      </w:r>
    </w:p>
    <w:p>
      <w:pPr>
        <w:spacing w:after="0" w:line="85" w:lineRule="exact"/>
        <w:rPr>
          <w:sz w:val="20"/>
          <w:szCs w:val="20"/>
          <w:color w:val="auto"/>
        </w:rPr>
      </w:pPr>
    </w:p>
    <w:p>
      <w:pPr>
        <w:ind w:left="984" w:hanging="431"/>
        <w:spacing w:after="0" w:line="266" w:lineRule="auto"/>
        <w:rPr>
          <w:sz w:val="20"/>
          <w:szCs w:val="20"/>
          <w:color w:val="auto"/>
        </w:rPr>
      </w:pPr>
      <w:r>
        <w:rPr>
          <w:rFonts w:ascii="Times New Roman" w:cs="Times New Roman" w:eastAsia="Times New Roman" w:hAnsi="Times New Roman"/>
          <w:sz w:val="18"/>
          <w:szCs w:val="18"/>
          <w:color w:val="auto"/>
        </w:rPr>
        <w:t>(A) = as applicable: (i) the VWAP (as defined below) on the Trading Day immediately preceding the date of the applicable Notice of Exercise if such Notice of Exercise is (1) delivered pursuant to Section 2(a) hereof on a day that is not a Trading Day or (2) delivered pursuant to Section 2(a) hereof on a Trading Day prior to the opening of “regular trading hours” (as defined in</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64"/>
          </w:cols>
          <w:pgMar w:left="876" w:top="270" w:right="459" w:bottom="1440" w:gutter="0" w:footer="0" w:header="0"/>
        </w:sectPr>
      </w:pPr>
    </w:p>
    <w:bookmarkStart w:id="91" w:name="page92"/>
    <w:bookmarkEnd w:id="91"/>
    <w:p>
      <w:pPr>
        <w:ind w:left="9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 as of the time of the Holder’s execution of the applicable Notice of Exercise if such Notice of exercise is delivered within two (2) hours thereafter (including until two (2) hours after the close of “regular trading hours” on a Trading Day) or (iii) the VWAP on the date of the applicable Notice of Exercise if the date of such Notice of Exercise is a Trading Day and such Notice of Exercise is delivered pursuant to Section 2(a) hereof following the close of “regular trading hours” on such Trading Day;</w:t>
      </w:r>
    </w:p>
    <w:p>
      <w:pPr>
        <w:spacing w:after="0" w:line="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 = the Exercise Price of this Warrant, as adjusted hereunder; and</w:t>
      </w:r>
    </w:p>
    <w:p>
      <w:pPr>
        <w:spacing w:after="0" w:line="131" w:lineRule="exact"/>
        <w:rPr>
          <w:sz w:val="20"/>
          <w:szCs w:val="20"/>
          <w:color w:val="auto"/>
        </w:rPr>
      </w:pPr>
    </w:p>
    <w:p>
      <w:pPr>
        <w:ind w:left="980" w:right="160" w:hanging="431"/>
        <w:spacing w:after="0" w:line="282" w:lineRule="auto"/>
        <w:rPr>
          <w:sz w:val="20"/>
          <w:szCs w:val="20"/>
          <w:color w:val="auto"/>
        </w:rPr>
      </w:pPr>
      <w:r>
        <w:rPr>
          <w:rFonts w:ascii="Times New Roman" w:cs="Times New Roman" w:eastAsia="Times New Roman" w:hAnsi="Times New Roman"/>
          <w:sz w:val="18"/>
          <w:szCs w:val="18"/>
          <w:color w:val="auto"/>
        </w:rPr>
        <w:t>(X) = the number of Warrant Shares or Pre-Funded Warrants that would be issuable upon exercise of this Warrant in accordance with the terms of this Warrant if such exercise were by means of a cash exercise rather than a cashless exercise.</w:t>
      </w:r>
    </w:p>
    <w:p>
      <w:pPr>
        <w:spacing w:after="0" w:line="54" w:lineRule="exact"/>
        <w:rPr>
          <w:sz w:val="20"/>
          <w:szCs w:val="20"/>
          <w:color w:val="auto"/>
        </w:rPr>
      </w:pPr>
    </w:p>
    <w:p>
      <w:pPr>
        <w:ind w:right="80" w:firstLine="423"/>
        <w:spacing w:after="0" w:line="266" w:lineRule="auto"/>
        <w:rPr>
          <w:sz w:val="20"/>
          <w:szCs w:val="20"/>
          <w:color w:val="auto"/>
        </w:rPr>
      </w:pPr>
      <w:r>
        <w:rPr>
          <w:rFonts w:ascii="Times New Roman" w:cs="Times New Roman" w:eastAsia="Times New Roman" w:hAnsi="Times New Roman"/>
          <w:sz w:val="18"/>
          <w:szCs w:val="18"/>
          <w:color w:val="auto"/>
        </w:rPr>
        <w:t>If Warrant Shares or Pre-Funded Warrants are issued in such a cashless exercise, the parties acknowledge and agree that in accordance with Section 3(a)(9) of the Securities Act, the holding period of the Warrant Shares or Pre-Funded Warrants being issued may be tacked on to the holding period of this Warrant. The Company agrees not to take any position contrary to this Section 2(c).</w:t>
      </w:r>
    </w:p>
    <w:p>
      <w:pPr>
        <w:spacing w:after="0" w:line="68" w:lineRule="exact"/>
        <w:rPr>
          <w:sz w:val="20"/>
          <w:szCs w:val="20"/>
          <w:color w:val="auto"/>
        </w:rPr>
      </w:pPr>
    </w:p>
    <w:p>
      <w:pPr>
        <w:ind w:right="80" w:firstLine="4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1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40"/>
          </w:cols>
          <w:pgMar w:left="880" w:top="270" w:right="479" w:bottom="1440" w:gutter="0" w:footer="0" w:header="0"/>
        </w:sectPr>
      </w:pPr>
    </w:p>
    <w:bookmarkStart w:id="92" w:name="page93"/>
    <w:bookmarkEnd w:id="92"/>
    <w:p>
      <w:pPr>
        <w:ind w:left="4" w:right="20" w:firstLine="423"/>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OTCQB Venture Market (“OTCQB”) or the OTCQX Best Market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(“Pink Market”)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84" w:lineRule="exact"/>
        <w:rPr>
          <w:sz w:val="20"/>
          <w:szCs w:val="20"/>
          <w:color w:val="auto"/>
        </w:rPr>
      </w:pPr>
    </w:p>
    <w:p>
      <w:pPr>
        <w:ind w:left="204" w:hanging="204"/>
        <w:spacing w:after="0"/>
        <w:tabs>
          <w:tab w:leader="none" w:pos="20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4" w:right="80" w:firstLine="391"/>
        <w:spacing w:after="0" w:line="267" w:lineRule="auto"/>
        <w:tabs>
          <w:tab w:leader="none" w:pos="1507" w:val="left"/>
        </w:tabs>
        <w:numPr>
          <w:ilvl w:val="2"/>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Warrant Shares or Pre-Funded Warrants Upon Exercise</w:t>
      </w:r>
      <w:r>
        <w:rPr>
          <w:rFonts w:ascii="Times New Roman" w:cs="Times New Roman" w:eastAsia="Times New Roman" w:hAnsi="Times New Roman"/>
          <w:sz w:val="17"/>
          <w:szCs w:val="17"/>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7"/>
          <w:szCs w:val="17"/>
          <w:u w:val="single" w:color="auto"/>
          <w:color w:val="auto"/>
        </w:rPr>
        <w:t>DWAC</w:t>
      </w:r>
      <w:r>
        <w:rPr>
          <w:rFonts w:ascii="Times New Roman" w:cs="Times New Roman" w:eastAsia="Times New Roman" w:hAnsi="Times New Roman"/>
          <w:sz w:val="17"/>
          <w:szCs w:val="17"/>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w:t>
      </w:r>
    </w:p>
    <w:p>
      <w:pPr>
        <w:spacing w:after="0" w:line="5" w:lineRule="exact"/>
        <w:rPr>
          <w:rFonts w:ascii="Times New Roman" w:cs="Times New Roman" w:eastAsia="Times New Roman" w:hAnsi="Times New Roman"/>
          <w:sz w:val="17"/>
          <w:szCs w:val="17"/>
          <w:color w:val="auto"/>
        </w:rPr>
      </w:pPr>
    </w:p>
    <w:p>
      <w:pPr>
        <w:ind w:left="984" w:firstLine="8"/>
        <w:spacing w:after="0" w:line="269" w:lineRule="auto"/>
        <w:tabs>
          <w:tab w:leader="none" w:pos="1248"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Trading Days comprising the Standard Settlement Period after the delivery to the Company of the Notice of Exercise (such date, the “</w:t>
      </w:r>
      <w:r>
        <w:rPr>
          <w:rFonts w:ascii="Times New Roman" w:cs="Times New Roman" w:eastAsia="Times New Roman" w:hAnsi="Times New Roman"/>
          <w:sz w:val="17"/>
          <w:szCs w:val="17"/>
          <w:u w:val="single" w:color="auto"/>
          <w:color w:val="auto"/>
        </w:rPr>
        <w:t>Warrant Share Delivery Date</w:t>
      </w:r>
      <w:r>
        <w:rPr>
          <w:rFonts w:ascii="Times New Roman" w:cs="Times New Roman" w:eastAsia="Times New Roman" w:hAnsi="Times New Roman"/>
          <w:sz w:val="17"/>
          <w:szCs w:val="17"/>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4"/>
          </w:cols>
          <w:pgMar w:left="876" w:top="270" w:right="459" w:bottom="1440" w:gutter="0" w:footer="0" w:header="0"/>
        </w:sectPr>
      </w:pPr>
    </w:p>
    <w:bookmarkStart w:id="93" w:name="page94"/>
    <w:bookmarkEnd w:id="93"/>
    <w:p>
      <w:pPr>
        <w:ind w:left="420" w:right="40"/>
        <w:spacing w:after="0" w:line="24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cash, as liquidated damages and not as a penalty, for each $1,000 of Warrant Shares subject to such exercise (based on the VWAP of the Common Stock on the date of the applicable Notice of Exercise), $10 per Trading Day (increasing to $20 per Trading Day on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 If this Warrant is being exercised for Pre-Funded Warrants, the Company shall promptly (but in no event later than the number of Trading Days comprising the Standard Settlement Period following the Exercise Date) issue and dispatch by overnight courier to the address as specified in the Exercise Notice, Pre-Funded Warrants to purchase a number of shares of Common Stock with respect to which this Warrant is being exercised.</w:t>
      </w:r>
    </w:p>
    <w:p>
      <w:pPr>
        <w:spacing w:after="0" w:line="95" w:lineRule="exact"/>
        <w:rPr>
          <w:sz w:val="20"/>
          <w:szCs w:val="20"/>
          <w:color w:val="auto"/>
        </w:rPr>
      </w:pPr>
    </w:p>
    <w:p>
      <w:pPr>
        <w:ind w:left="420" w:right="120" w:firstLine="391"/>
        <w:spacing w:after="0" w:line="281" w:lineRule="auto"/>
        <w:tabs>
          <w:tab w:leader="none" w:pos="993"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New Warrants Upon Exercise</w:t>
      </w:r>
      <w:r>
        <w:rPr>
          <w:rFonts w:ascii="Times New Roman" w:cs="Times New Roman" w:eastAsia="Times New Roman" w:hAnsi="Times New Roman"/>
          <w:sz w:val="17"/>
          <w:szCs w:val="17"/>
          <w:color w:val="auto"/>
        </w:rPr>
        <w:t>. If this Warrant shall have been exercised in part, the Company shall, at the request of a Holder and upon surrender of this Warrant certificate, at the time of delivery of the Warrant Shares and/or Pre-Funded Warrants, deliver to the Holder a new Warrant evidencing the rights of the Holder to purchase the unpurchased Warrant Shares and/or Pre-Funded Warrants called for by this Warrant, which new Warrant shall in all other respects be identical with this Warrant.</w:t>
      </w:r>
    </w:p>
    <w:p>
      <w:pPr>
        <w:spacing w:after="0" w:line="56" w:lineRule="exact"/>
        <w:rPr>
          <w:rFonts w:ascii="Times New Roman" w:cs="Times New Roman" w:eastAsia="Times New Roman" w:hAnsi="Times New Roman"/>
          <w:sz w:val="17"/>
          <w:szCs w:val="17"/>
          <w:color w:val="auto"/>
        </w:rPr>
      </w:pPr>
    </w:p>
    <w:p>
      <w:pPr>
        <w:ind w:left="420" w:firstLine="391"/>
        <w:spacing w:after="0" w:line="282" w:lineRule="auto"/>
        <w:tabs>
          <w:tab w:leader="none" w:pos="104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53" w:lineRule="exact"/>
        <w:rPr>
          <w:rFonts w:ascii="Times New Roman" w:cs="Times New Roman" w:eastAsia="Times New Roman" w:hAnsi="Times New Roman"/>
          <w:sz w:val="18"/>
          <w:szCs w:val="18"/>
          <w:color w:val="auto"/>
        </w:rPr>
      </w:pPr>
    </w:p>
    <w:p>
      <w:pPr>
        <w:ind w:left="420" w:right="80" w:firstLine="391"/>
        <w:spacing w:after="0" w:line="273" w:lineRule="auto"/>
        <w:tabs>
          <w:tab w:leader="none" w:pos="1021"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Compensation for Buy-In on Failure to Timely Deliver Warrant Shares Upon Exercise</w:t>
      </w:r>
      <w:r>
        <w:rPr>
          <w:rFonts w:ascii="Times New Roman" w:cs="Times New Roman" w:eastAsia="Times New Roman" w:hAnsi="Times New Roman"/>
          <w:sz w:val="17"/>
          <w:szCs w:val="17"/>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7"/>
          <w:szCs w:val="17"/>
          <w:u w:val="single" w:color="auto"/>
          <w:color w:val="auto"/>
        </w:rPr>
        <w:t>Buy-In</w:t>
      </w:r>
      <w:r>
        <w:rPr>
          <w:rFonts w:ascii="Times New Roman" w:cs="Times New Roman" w:eastAsia="Times New Roman" w:hAnsi="Times New Roman"/>
          <w:sz w:val="17"/>
          <w:szCs w:val="17"/>
          <w:color w:val="auto"/>
        </w:rPr>
        <w:t>”), then the Company shall (A) pay in cash to the Holder the amount, if any, by which (x) the Holder’s total purchase price (including brokerage commissions, if any) for the shares of Common Stock so</w:t>
      </w:r>
    </w:p>
    <w:p>
      <w:pPr>
        <w:spacing w:after="0" w:line="10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000"/>
          </w:cols>
          <w:pgMar w:left="1440" w:top="270" w:right="459" w:bottom="1440" w:gutter="0" w:footer="0" w:header="0"/>
        </w:sectPr>
      </w:pPr>
    </w:p>
    <w:bookmarkStart w:id="94" w:name="page95"/>
    <w:bookmarkEnd w:id="94"/>
    <w:p>
      <w:pPr>
        <w:ind w:left="420"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79" w:lineRule="exact"/>
        <w:rPr>
          <w:sz w:val="20"/>
          <w:szCs w:val="20"/>
          <w:color w:val="auto"/>
        </w:rPr>
      </w:pPr>
    </w:p>
    <w:p>
      <w:pPr>
        <w:ind w:left="420" w:firstLine="383"/>
        <w:spacing w:after="0" w:line="261"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72" w:lineRule="exact"/>
        <w:rPr>
          <w:sz w:val="20"/>
          <w:szCs w:val="20"/>
          <w:color w:val="auto"/>
        </w:rPr>
      </w:pPr>
    </w:p>
    <w:p>
      <w:pPr>
        <w:ind w:left="420" w:right="40" w:firstLine="391"/>
        <w:spacing w:after="0" w:line="254" w:lineRule="auto"/>
        <w:tabs>
          <w:tab w:leader="none" w:pos="103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or Pre-Funded Warrants shall be made without charge to the Holder for any issue or transfer tax or other incidental expense in respect of the issuance of such Warrant Shares, all of which taxes and expenses shall be paid by the Company, and such Warrant Shares or Pre-Funded Warrants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or Pre-Funded Warrants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000"/>
          </w:cols>
          <w:pgMar w:left="1440" w:top="270" w:right="459" w:bottom="1440" w:gutter="0" w:footer="0" w:header="0"/>
        </w:sectPr>
      </w:pPr>
    </w:p>
    <w:bookmarkStart w:id="95" w:name="page96"/>
    <w:bookmarkEnd w:id="95"/>
    <w:p>
      <w:pPr>
        <w:ind w:left="440" w:right="200" w:firstLine="391"/>
        <w:spacing w:after="0" w:line="282" w:lineRule="auto"/>
        <w:tabs>
          <w:tab w:leader="none" w:pos="1103"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53" w:lineRule="exact"/>
        <w:rPr>
          <w:rFonts w:ascii="Times New Roman" w:cs="Times New Roman" w:eastAsia="Times New Roman" w:hAnsi="Times New Roman"/>
          <w:sz w:val="18"/>
          <w:szCs w:val="18"/>
          <w:color w:val="auto"/>
        </w:rPr>
      </w:pPr>
    </w:p>
    <w:p>
      <w:pPr>
        <w:ind w:left="600" w:hanging="192"/>
        <w:spacing w:after="0"/>
        <w:tabs>
          <w:tab w:leader="none" w:pos="6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(other than to</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acquire Pre-Funded Warrants with the same (or lower) Beneficial Ownership Limitation on exercise), and a Holder shall not have the right to exercise any portion of this Warrant (other than to acquire Pre-Funded Warrants with the same (or lower) Beneficial Ownership Limitation on exercise),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w:t>
      </w:r>
    </w:p>
    <w:p>
      <w:pPr>
        <w:spacing w:after="0" w:line="13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020"/>
          </w:cols>
          <w:pgMar w:left="1420" w:top="270" w:right="459" w:bottom="1440" w:gutter="0" w:footer="0" w:header="0"/>
        </w:sectPr>
      </w:pPr>
    </w:p>
    <w:bookmarkStart w:id="96" w:name="page97"/>
    <w:bookmarkEnd w:id="96"/>
    <w:p>
      <w:pPr>
        <w:ind w:left="540" w:right="60"/>
        <w:spacing w:after="0" w:line="24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[9.99/4.99%]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72" w:lineRule="auto"/>
        <w:tabs>
          <w:tab w:leader="none" w:pos="608"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Dividends and Splits</w:t>
      </w:r>
      <w:r>
        <w:rPr>
          <w:rFonts w:ascii="Times New Roman" w:cs="Times New Roman" w:eastAsia="Times New Roman" w:hAnsi="Times New Roman"/>
          <w:sz w:val="17"/>
          <w:szCs w:val="17"/>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w:t>
      </w:r>
    </w:p>
    <w:p>
      <w:pPr>
        <w:spacing w:after="0" w:line="10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97" w:name="page98"/>
    <w:bookmarkEnd w:id="97"/>
    <w:p>
      <w:pPr>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Pre-Funded Warrant shall be proportionately adjusted such that the aggregate Exercise Price of this Warrant or Pre-Funded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72" w:lineRule="exact"/>
        <w:rPr>
          <w:sz w:val="20"/>
          <w:szCs w:val="20"/>
          <w:color w:val="auto"/>
        </w:rPr>
      </w:pPr>
    </w:p>
    <w:p>
      <w:pPr>
        <w:ind w:firstLine="419"/>
        <w:spacing w:after="0" w:line="253" w:lineRule="auto"/>
        <w:tabs>
          <w:tab w:leader="none" w:pos="61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81" w:lineRule="exact"/>
        <w:rPr>
          <w:rFonts w:ascii="Times New Roman" w:cs="Times New Roman" w:eastAsia="Times New Roman" w:hAnsi="Times New Roman"/>
          <w:sz w:val="18"/>
          <w:szCs w:val="18"/>
          <w:color w:val="auto"/>
        </w:rPr>
      </w:pPr>
    </w:p>
    <w:p>
      <w:pPr>
        <w:ind w:right="20" w:firstLine="419"/>
        <w:spacing w:after="0" w:line="253" w:lineRule="auto"/>
        <w:tabs>
          <w:tab w:leader="none" w:pos="60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1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40"/>
          </w:cols>
          <w:pgMar w:left="880" w:top="270" w:right="479" w:bottom="1440" w:gutter="0" w:footer="0" w:header="0"/>
        </w:sectPr>
      </w:pPr>
    </w:p>
    <w:bookmarkStart w:id="98" w:name="page99"/>
    <w:bookmarkEnd w:id="98"/>
    <w:p>
      <w:pPr>
        <w:ind w:firstLine="419"/>
        <w:spacing w:after="0" w:line="251" w:lineRule="auto"/>
        <w:tabs>
          <w:tab w:leader="none" w:pos="61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(which, for the avoidance of doubt, shall not include transactions consummated by the Company for the principal purpose of raising capital for the Company)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(other than (x) any stock split or reverse stock split, (y) any transaction effected solely for the purpose of changing the</w:t>
      </w:r>
    </w:p>
    <w:p>
      <w:pPr>
        <w:spacing w:after="0" w:line="13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20"/>
          </w:cols>
          <w:pgMar w:left="880" w:top="270" w:right="499" w:bottom="1440" w:gutter="0" w:footer="0" w:header="0"/>
        </w:sectPr>
      </w:pPr>
    </w:p>
    <w:bookmarkStart w:id="99" w:name="page100"/>
    <w:bookmarkEnd w:id="99"/>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jurisdiction of incorporation of the Company, or (z) any holding company reorganization or parent-subsidiary merger not requiring stockholder approval pursuant to Sections 251(g) or 253 of the General Corporation Law of the State of Delaware (or any successor provisions thereof)),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100 day volatility, each obtained from the HVT function on Bloomberg (determined utilizing a 365 day annualization factor) as of the Trading Day immediately following the public announcement of the applicable Fundamental Transaction, (C) the underlying price per share used in such calculation shall be the sum of the price per share being offered in cash, if any, plus the value of any non-cash consideration, if any, being offered in such Fundamental Transaction,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within five Trading Days of the Holder’s election (or, if later, on the effective date of the Fundamental Transaction). The terms of any agreement pursuant to which a Fundamental Transaction is effected shall include terms requiring any such successor or surviving entity to comply with the provisions of this Section 3(d) and insuring that this Warrant (or any such replacement security) will be similarly adjusted upon any subsequent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880" w:top="270" w:right="459" w:bottom="1440" w:gutter="0" w:footer="0" w:header="0"/>
        </w:sectPr>
      </w:pPr>
    </w:p>
    <w:bookmarkStart w:id="100" w:name="page101"/>
    <w:bookmarkEnd w:id="100"/>
    <w:p>
      <w:pPr>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Holder.Upon the occurrence of any such Fundamental Transaction, the Successor Entity shall succeed to, and be substituted for the Company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Notwithstanding the foregoing, the Holder may elect, at its sole option, by delivery of written notice to the Company to waive this Section 3(d) to permit a Fundamental Transaction without the assumption of this Warrant.</w:t>
      </w:r>
    </w:p>
    <w:p>
      <w:pPr>
        <w:spacing w:after="0" w:line="74" w:lineRule="exact"/>
        <w:rPr>
          <w:sz w:val="20"/>
          <w:szCs w:val="20"/>
          <w:color w:val="auto"/>
        </w:rPr>
      </w:pPr>
    </w:p>
    <w:p>
      <w:pPr>
        <w:ind w:right="60" w:firstLine="419"/>
        <w:spacing w:after="0" w:line="266" w:lineRule="auto"/>
        <w:tabs>
          <w:tab w:leader="none" w:pos="60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67" w:lineRule="exact"/>
        <w:rPr>
          <w:rFonts w:ascii="Times New Roman" w:cs="Times New Roman" w:eastAsia="Times New Roman" w:hAnsi="Times New Roman"/>
          <w:sz w:val="18"/>
          <w:szCs w:val="18"/>
          <w:color w:val="auto"/>
        </w:rPr>
      </w:pPr>
    </w:p>
    <w:p>
      <w:pPr>
        <w:ind w:left="580" w:hanging="161"/>
        <w:spacing w:after="0"/>
        <w:tabs>
          <w:tab w:leader="none" w:pos="5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980" w:right="500" w:firstLine="391"/>
        <w:spacing w:after="0" w:line="261" w:lineRule="auto"/>
        <w:tabs>
          <w:tab w:leader="none" w:pos="1503"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or Pre-Funded Warrants and setting forth a brief statement of the facts requiring such adjustment.</w:t>
      </w:r>
    </w:p>
    <w:p>
      <w:pPr>
        <w:spacing w:after="0" w:line="71" w:lineRule="exact"/>
        <w:rPr>
          <w:rFonts w:ascii="Times New Roman" w:cs="Times New Roman" w:eastAsia="Times New Roman" w:hAnsi="Times New Roman"/>
          <w:sz w:val="18"/>
          <w:szCs w:val="18"/>
          <w:color w:val="auto"/>
        </w:rPr>
      </w:pPr>
    </w:p>
    <w:p>
      <w:pPr>
        <w:ind w:left="980" w:firstLine="391"/>
        <w:spacing w:after="0" w:line="266" w:lineRule="auto"/>
        <w:tabs>
          <w:tab w:leader="none" w:pos="1553"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0"/>
          </w:cols>
          <w:pgMar w:left="880" w:top="270" w:right="459" w:bottom="1440" w:gutter="0" w:footer="0" w:header="0"/>
        </w:sectPr>
      </w:pPr>
    </w:p>
    <w:bookmarkStart w:id="101" w:name="page102"/>
    <w:bookmarkEnd w:id="101"/>
    <w:p>
      <w:pPr>
        <w:ind w:left="98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73" w:lineRule="auto"/>
        <w:tabs>
          <w:tab w:leader="none" w:pos="608"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Transferability</w:t>
      </w:r>
      <w:r>
        <w:rPr>
          <w:rFonts w:ascii="Times New Roman" w:cs="Times New Roman" w:eastAsia="Times New Roman" w:hAnsi="Times New Roman"/>
          <w:sz w:val="17"/>
          <w:szCs w:val="17"/>
          <w:color w:val="auto"/>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w:t>
      </w:r>
    </w:p>
    <w:p>
      <w:pPr>
        <w:spacing w:after="0" w:line="10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80" w:top="270" w:right="459" w:bottom="1440" w:gutter="0" w:footer="0" w:header="0"/>
        </w:sectPr>
      </w:pPr>
    </w:p>
    <w:bookmarkStart w:id="102" w:name="page103"/>
    <w:bookmarkEnd w:id="102"/>
    <w:p>
      <w:pPr>
        <w:ind w:right="2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75" w:lineRule="exact"/>
        <w:rPr>
          <w:sz w:val="20"/>
          <w:szCs w:val="20"/>
          <w:color w:val="auto"/>
        </w:rPr>
      </w:pPr>
    </w:p>
    <w:p>
      <w:pPr>
        <w:ind w:right="20" w:firstLine="419"/>
        <w:spacing w:after="0" w:line="256" w:lineRule="auto"/>
        <w:tabs>
          <w:tab w:leader="none" w:pos="61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Original Issue Date and shall be identical with this Warrant except as to the number of Warrant Shares issuable pursuant thereto.</w:t>
      </w:r>
    </w:p>
    <w:p>
      <w:pPr>
        <w:spacing w:after="0" w:line="79" w:lineRule="exact"/>
        <w:rPr>
          <w:rFonts w:ascii="Times New Roman" w:cs="Times New Roman" w:eastAsia="Times New Roman" w:hAnsi="Times New Roman"/>
          <w:sz w:val="18"/>
          <w:szCs w:val="18"/>
          <w:color w:val="auto"/>
        </w:rPr>
      </w:pPr>
    </w:p>
    <w:p>
      <w:pPr>
        <w:ind w:firstLine="419"/>
        <w:spacing w:after="0" w:line="261" w:lineRule="auto"/>
        <w:tabs>
          <w:tab w:leader="none" w:pos="60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71" w:lineRule="exact"/>
        <w:rPr>
          <w:rFonts w:ascii="Times New Roman" w:cs="Times New Roman" w:eastAsia="Times New Roman" w:hAnsi="Times New Roman"/>
          <w:sz w:val="18"/>
          <w:szCs w:val="18"/>
          <w:color w:val="auto"/>
        </w:rPr>
      </w:pPr>
    </w:p>
    <w:p>
      <w:pPr>
        <w:ind w:right="60" w:firstLine="419"/>
        <w:spacing w:after="0" w:line="258" w:lineRule="auto"/>
        <w:tabs>
          <w:tab w:leader="none" w:pos="61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spacing w:after="0" w:line="75" w:lineRule="exact"/>
        <w:rPr>
          <w:rFonts w:ascii="Times New Roman" w:cs="Times New Roman" w:eastAsia="Times New Roman" w:hAnsi="Times New Roman"/>
          <w:sz w:val="18"/>
          <w:szCs w:val="18"/>
          <w:color w:val="auto"/>
        </w:rPr>
      </w:pPr>
    </w:p>
    <w:p>
      <w:pPr>
        <w:ind w:firstLine="419"/>
        <w:spacing w:after="0" w:line="258" w:lineRule="auto"/>
        <w:tabs>
          <w:tab w:leader="none" w:pos="60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In addition to the representation and warranties contained in Section 3.2 of the Purchase Agreement,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40"/>
          </w:cols>
          <w:pgMar w:left="880" w:top="270" w:right="4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419"/>
        <w:spacing w:after="0" w:line="258" w:lineRule="auto"/>
        <w:tabs>
          <w:tab w:leader="none" w:pos="60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75" w:lineRule="exact"/>
        <w:rPr>
          <w:rFonts w:ascii="Times New Roman" w:cs="Times New Roman" w:eastAsia="Times New Roman" w:hAnsi="Times New Roman"/>
          <w:sz w:val="18"/>
          <w:szCs w:val="18"/>
          <w:color w:val="auto"/>
        </w:rPr>
      </w:pPr>
    </w:p>
    <w:p>
      <w:pPr>
        <w:ind w:right="200" w:firstLine="419"/>
        <w:spacing w:after="0" w:line="258" w:lineRule="auto"/>
        <w:tabs>
          <w:tab w:leader="none" w:pos="61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75" w:lineRule="exact"/>
        <w:rPr>
          <w:rFonts w:ascii="Times New Roman" w:cs="Times New Roman" w:eastAsia="Times New Roman" w:hAnsi="Times New Roman"/>
          <w:sz w:val="18"/>
          <w:szCs w:val="18"/>
          <w:color w:val="auto"/>
        </w:rPr>
      </w:pPr>
    </w:p>
    <w:p>
      <w:pPr>
        <w:ind w:right="420" w:firstLine="419"/>
        <w:spacing w:after="0" w:line="312" w:lineRule="auto"/>
        <w:tabs>
          <w:tab w:leader="none" w:pos="608"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31" w:lineRule="exact"/>
        <w:rPr>
          <w:rFonts w:ascii="Times New Roman" w:cs="Times New Roman" w:eastAsia="Times New Roman" w:hAnsi="Times New Roman"/>
          <w:sz w:val="17"/>
          <w:szCs w:val="17"/>
          <w:color w:val="auto"/>
        </w:rPr>
      </w:pPr>
    </w:p>
    <w:p>
      <w:pPr>
        <w:ind w:left="620" w:hanging="201"/>
        <w:spacing w:after="0"/>
        <w:tabs>
          <w:tab w:leader="none" w:pos="6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firstLine="401"/>
        <w:spacing w:after="0" w:line="253" w:lineRule="auto"/>
        <w:rPr>
          <w:sz w:val="20"/>
          <w:szCs w:val="20"/>
          <w:color w:val="auto"/>
        </w:rPr>
      </w:pPr>
      <w:r>
        <w:rPr>
          <w:rFonts w:ascii="Times New Roman" w:cs="Times New Roman" w:eastAsia="Times New Roman" w:hAnsi="Times New Roman"/>
          <w:sz w:val="18"/>
          <w:szCs w:val="18"/>
          <w:color w:val="auto"/>
        </w:rPr>
        <w:t>The Company covenants that, at all times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86" w:lineRule="exact"/>
        <w:rPr>
          <w:sz w:val="20"/>
          <w:szCs w:val="20"/>
          <w:color w:val="auto"/>
        </w:rPr>
      </w:pPr>
    </w:p>
    <w:p>
      <w:pPr>
        <w:ind w:left="540" w:right="40" w:firstLine="401"/>
        <w:spacing w:after="0" w:line="281" w:lineRule="auto"/>
        <w:rPr>
          <w:sz w:val="20"/>
          <w:szCs w:val="20"/>
          <w:color w:val="auto"/>
        </w:rPr>
      </w:pPr>
      <w:r>
        <w:rPr>
          <w:rFonts w:ascii="Times New Roman" w:cs="Times New Roman" w:eastAsia="Times New Roman" w:hAnsi="Times New Roman"/>
          <w:sz w:val="17"/>
          <w:szCs w:val="17"/>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w:t>
      </w:r>
    </w:p>
    <w:p>
      <w:pPr>
        <w:spacing w:after="0" w:line="9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80"/>
          </w:cols>
          <w:pgMar w:left="880" w:top="270" w:right="439" w:bottom="1440" w:gutter="0" w:footer="0" w:header="0"/>
        </w:sectPr>
      </w:pPr>
    </w:p>
    <w:bookmarkStart w:id="104" w:name="page105"/>
    <w:bookmarkEnd w:id="104"/>
    <w:p>
      <w:pPr>
        <w:ind w:left="5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79" w:lineRule="exact"/>
        <w:rPr>
          <w:sz w:val="20"/>
          <w:szCs w:val="20"/>
          <w:color w:val="auto"/>
        </w:rPr>
      </w:pPr>
    </w:p>
    <w:p>
      <w:pPr>
        <w:jc w:val="both"/>
        <w:ind w:left="540" w:right="100" w:firstLine="401"/>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68" w:lineRule="exact"/>
        <w:rPr>
          <w:sz w:val="20"/>
          <w:szCs w:val="20"/>
          <w:color w:val="auto"/>
        </w:rPr>
      </w:pPr>
    </w:p>
    <w:p>
      <w:pPr>
        <w:ind w:right="340" w:firstLine="419"/>
        <w:spacing w:after="0" w:line="282" w:lineRule="auto"/>
        <w:tabs>
          <w:tab w:leader="none" w:pos="60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53" w:lineRule="exact"/>
        <w:rPr>
          <w:rFonts w:ascii="Times New Roman" w:cs="Times New Roman" w:eastAsia="Times New Roman" w:hAnsi="Times New Roman"/>
          <w:sz w:val="18"/>
          <w:szCs w:val="18"/>
          <w:color w:val="auto"/>
        </w:rPr>
      </w:pPr>
    </w:p>
    <w:p>
      <w:pPr>
        <w:ind w:right="480" w:firstLine="419"/>
        <w:spacing w:after="0" w:line="282" w:lineRule="auto"/>
        <w:tabs>
          <w:tab w:leader="none" w:pos="58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53" w:lineRule="exact"/>
        <w:rPr>
          <w:rFonts w:ascii="Times New Roman" w:cs="Times New Roman" w:eastAsia="Times New Roman" w:hAnsi="Times New Roman"/>
          <w:sz w:val="18"/>
          <w:szCs w:val="18"/>
          <w:color w:val="auto"/>
        </w:rPr>
      </w:pPr>
    </w:p>
    <w:p>
      <w:pPr>
        <w:ind w:right="20" w:firstLine="419"/>
        <w:spacing w:after="0" w:line="255" w:lineRule="auto"/>
        <w:tabs>
          <w:tab w:leader="none" w:pos="61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80" w:lineRule="exact"/>
        <w:rPr>
          <w:rFonts w:ascii="Times New Roman" w:cs="Times New Roman" w:eastAsia="Times New Roman" w:hAnsi="Times New Roman"/>
          <w:sz w:val="18"/>
          <w:szCs w:val="18"/>
          <w:color w:val="auto"/>
        </w:rPr>
      </w:pPr>
    </w:p>
    <w:p>
      <w:pPr>
        <w:ind w:right="380" w:firstLine="419"/>
        <w:spacing w:after="0" w:line="282" w:lineRule="auto"/>
        <w:tabs>
          <w:tab w:leader="none" w:pos="61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53" w:lineRule="exact"/>
        <w:rPr>
          <w:rFonts w:ascii="Times New Roman" w:cs="Times New Roman" w:eastAsia="Times New Roman" w:hAnsi="Times New Roman"/>
          <w:sz w:val="18"/>
          <w:szCs w:val="18"/>
          <w:color w:val="auto"/>
        </w:rPr>
      </w:pPr>
    </w:p>
    <w:p>
      <w:pPr>
        <w:jc w:val="both"/>
        <w:ind w:right="200" w:firstLine="419"/>
        <w:spacing w:after="0" w:line="261" w:lineRule="auto"/>
        <w:tabs>
          <w:tab w:leader="none" w:pos="57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0"/>
          </w:cols>
          <w:pgMar w:left="880" w:top="270" w:right="459" w:bottom="1440" w:gutter="0" w:footer="0" w:header="0"/>
        </w:sectPr>
      </w:pPr>
    </w:p>
    <w:bookmarkStart w:id="105" w:name="page106"/>
    <w:bookmarkEnd w:id="105"/>
    <w:p>
      <w:pPr>
        <w:ind w:right="20" w:firstLine="419"/>
        <w:spacing w:after="0" w:line="261" w:lineRule="auto"/>
        <w:tabs>
          <w:tab w:leader="none" w:pos="57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71" w:lineRule="exact"/>
        <w:rPr>
          <w:rFonts w:ascii="Times New Roman" w:cs="Times New Roman" w:eastAsia="Times New Roman" w:hAnsi="Times New Roman"/>
          <w:sz w:val="18"/>
          <w:szCs w:val="18"/>
          <w:color w:val="auto"/>
        </w:rPr>
      </w:pPr>
    </w:p>
    <w:p>
      <w:pPr>
        <w:jc w:val="both"/>
        <w:ind w:right="20" w:firstLine="419"/>
        <w:spacing w:after="0" w:line="261" w:lineRule="auto"/>
        <w:tabs>
          <w:tab w:leader="none" w:pos="61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71" w:lineRule="exact"/>
        <w:rPr>
          <w:rFonts w:ascii="Times New Roman" w:cs="Times New Roman" w:eastAsia="Times New Roman" w:hAnsi="Times New Roman"/>
          <w:sz w:val="18"/>
          <w:szCs w:val="18"/>
          <w:color w:val="auto"/>
        </w:rPr>
      </w:pPr>
    </w:p>
    <w:p>
      <w:pPr>
        <w:ind w:left="580" w:hanging="161"/>
        <w:spacing w:after="0"/>
        <w:tabs>
          <w:tab w:leader="none" w:pos="5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w:t>
      </w:r>
    </w:p>
    <w:p>
      <w:pPr>
        <w:spacing w:after="0" w:line="98" w:lineRule="exact"/>
        <w:rPr>
          <w:rFonts w:ascii="Times New Roman" w:cs="Times New Roman" w:eastAsia="Times New Roman" w:hAnsi="Times New Roman"/>
          <w:sz w:val="18"/>
          <w:szCs w:val="18"/>
          <w:color w:val="auto"/>
        </w:rPr>
      </w:pPr>
    </w:p>
    <w:p>
      <w:pPr>
        <w:ind w:right="40" w:firstLine="419"/>
        <w:spacing w:after="0" w:line="266" w:lineRule="auto"/>
        <w:tabs>
          <w:tab w:leader="none" w:pos="66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67" w:lineRule="exact"/>
        <w:rPr>
          <w:rFonts w:ascii="Times New Roman" w:cs="Times New Roman" w:eastAsia="Times New Roman" w:hAnsi="Times New Roman"/>
          <w:sz w:val="18"/>
          <w:szCs w:val="18"/>
          <w:color w:val="auto"/>
        </w:rPr>
      </w:pPr>
    </w:p>
    <w:p>
      <w:pPr>
        <w:ind w:right="60" w:firstLine="419"/>
        <w:spacing w:after="0" w:line="282" w:lineRule="auto"/>
        <w:tabs>
          <w:tab w:leader="none" w:pos="61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53" w:lineRule="exact"/>
        <w:rPr>
          <w:rFonts w:ascii="Times New Roman" w:cs="Times New Roman" w:eastAsia="Times New Roman" w:hAnsi="Times New Roman"/>
          <w:sz w:val="18"/>
          <w:szCs w:val="18"/>
          <w:color w:val="auto"/>
        </w:rPr>
      </w:pPr>
    </w:p>
    <w:p>
      <w:pPr>
        <w:ind w:firstLine="419"/>
        <w:spacing w:after="0" w:line="255" w:lineRule="auto"/>
        <w:tabs>
          <w:tab w:leader="none" w:pos="61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Pre-Funded Warrants in lieu of Common Stock</w:t>
      </w:r>
      <w:r>
        <w:rPr>
          <w:rFonts w:ascii="Times New Roman" w:cs="Times New Roman" w:eastAsia="Times New Roman" w:hAnsi="Times New Roman"/>
          <w:sz w:val="18"/>
          <w:szCs w:val="18"/>
          <w:color w:val="auto"/>
        </w:rPr>
        <w:t>. Notwithstanding anything to the contrary in this Warrant, to the extent the beneficial ownership limitations set forth in Section 2(e) restrict the exercise of this Warrant for Warrant Shares, the Holder may choose, in lieu of receiving Warrant Shares upon exercise of this Warrant, to receive a Pre-Funded Warrant in the form attached hereto as Exhibit A to purchase an identical number of shares of Common Stock it would have received upon the exercise of this Warrant for shares of Common Stock, provided, however that the Exercise Price shall instead be the Exercise Price less $0.0001 per share, and the resulting issued Pre-Funded Warrant shall have an exercise price of $0.0001 per share. In such instance, the Pre-Funded Warrant issued upon exercise shall have the equivalent (or lower) beneficial ownership “blocker” as set forth in Section 2(e).</w:t>
      </w:r>
    </w:p>
    <w:p>
      <w:pPr>
        <w:spacing w:after="0" w:line="18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80"/>
          </w:cols>
          <w:pgMar w:left="880" w:top="270" w:right="439" w:bottom="1440" w:gutter="0" w:footer="0" w:header="0"/>
        </w:sectPr>
      </w:pPr>
    </w:p>
    <w:bookmarkStart w:id="106" w:name="page107"/>
    <w:bookmarkEnd w:id="106"/>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has caused this Warrant to be executed by its officer thereunto duly authorized as of the date first above indicated.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107" w:name="page108"/>
    <w:bookmarkEnd w:id="10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OF EXERCISE</w:t>
      </w:r>
    </w:p>
    <w:p>
      <w:pPr>
        <w:spacing w:after="0" w:line="25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RANI THERAPEUTICS HOLDINGS, INC.</w:t>
      </w:r>
    </w:p>
    <w:p>
      <w:pPr>
        <w:spacing w:after="0" w:line="117" w:lineRule="exact"/>
        <w:rPr>
          <w:sz w:val="20"/>
          <w:szCs w:val="20"/>
          <w:color w:val="auto"/>
        </w:rPr>
      </w:pPr>
    </w:p>
    <w:p>
      <w:pPr>
        <w:ind w:firstLine="987"/>
        <w:spacing w:after="0" w:line="266" w:lineRule="auto"/>
        <w:tabs>
          <w:tab w:leader="none" w:pos="124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or _______ Pre-Funded Warrants of the Company pursuant to the terms of the attached Warrant (only if exercised in full), and tenders herewith payment of the exercise price in full, together with all applicable transfer taxes, if any.</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 in lawful money of the United States; or</w:t>
      </w:r>
    </w:p>
    <w:p>
      <w:pPr>
        <w:spacing w:after="0" w:line="117" w:lineRule="exact"/>
        <w:rPr>
          <w:sz w:val="20"/>
          <w:szCs w:val="20"/>
          <w:color w:val="auto"/>
        </w:rPr>
      </w:pPr>
    </w:p>
    <w:p>
      <w:pPr>
        <w:jc w:val="both"/>
        <w:ind w:left="1420" w:right="520" w:firstLine="8"/>
        <w:spacing w:after="0" w:line="266" w:lineRule="auto"/>
        <w:tabs>
          <w:tab w:leader="none" w:pos="1525"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-7620</wp:posOffset>
            </wp:positionV>
            <wp:extent cx="251396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1396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25"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r>
        <w:trPr>
          <w:trHeight w:val="426"/>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r>
        <w:trPr>
          <w:trHeight w:val="425"/>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r>
    </w:tbl>
    <w:p>
      <w:pPr>
        <w:spacing w:after="0" w:line="225" w:lineRule="exact"/>
        <w:rPr>
          <w:sz w:val="20"/>
          <w:szCs w:val="20"/>
          <w:color w:val="auto"/>
        </w:rPr>
      </w:pPr>
    </w:p>
    <w:p>
      <w:pPr>
        <w:ind w:right="180" w:firstLine="987"/>
        <w:spacing w:after="0" w:line="282" w:lineRule="auto"/>
        <w:tabs>
          <w:tab w:leader="none" w:pos="124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 1933, as amended.</w:t>
      </w:r>
    </w:p>
    <w:p>
      <w:pPr>
        <w:spacing w:after="0" w:line="162" w:lineRule="exact"/>
        <w:rPr>
          <w:sz w:val="20"/>
          <w:szCs w:val="20"/>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The Holder hereby elects to receive a Pre-Funded Warrant (in the form attached hereto as Annex A) to purchase an identical number of shares of Common Stock that it would receive if it had exercised this Warrant for shares of Common Stock in lieu of receiving the Warrant Shares in accordance with this Warrant.  </w:t>
      </w:r>
      <w:r>
        <w:rPr>
          <w:rFonts w:ascii="MS PGothic" w:cs="MS PGothic" w:eastAsia="MS PGothic" w:hAnsi="MS PGothic"/>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17145</wp:posOffset>
            </wp:positionV>
            <wp:extent cx="580326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032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14605</wp:posOffset>
            </wp:positionV>
            <wp:extent cx="45262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5262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14605</wp:posOffset>
            </wp:positionV>
            <wp:extent cx="55460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5460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1386205</wp:posOffset>
            </wp:positionH>
            <wp:positionV relativeFrom="paragraph">
              <wp:posOffset>14605</wp:posOffset>
            </wp:positionV>
            <wp:extent cx="56064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064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14605</wp:posOffset>
            </wp:positionV>
            <wp:extent cx="671195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ectPr>
          <w:pgSz w:w="11900" w:h="16838" w:orient="portrait"/>
          <w:cols w:equalWidth="0" w:num="1">
            <w:col w:w="10980"/>
          </w:cols>
          <w:pgMar w:left="440" w:top="266" w:right="47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left="440" w:right="1460"/>
        <w:spacing w:after="0" w:line="409"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(Please Print)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(Please Print)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 ______________________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 ______________________</w:t>
      </w:r>
    </w:p>
    <w:p>
      <w:pPr>
        <w:sectPr>
          <w:pgSz w:w="11900" w:h="16838" w:orient="portrait"/>
          <w:cols w:equalWidth="0" w:num="1">
            <w:col w:w="11020"/>
          </w:cols>
          <w:pgMar w:left="440" w:top="266" w:right="4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Pre-Funded Warrant</w:t>
      </w:r>
    </w:p>
    <w:p>
      <w:pPr>
        <w:sectPr>
          <w:pgSz w:w="11900" w:h="16838" w:orient="portrait"/>
          <w:cols w:equalWidth="0" w:num="1">
            <w:col w:w="9019"/>
          </w:cols>
          <w:pgMar w:left="1440" w:top="266" w:right="1440" w:bottom="1440" w:gutter="0" w:footer="0" w:header="0"/>
        </w:sectPr>
      </w:pPr>
    </w:p>
    <w:bookmarkStart w:id="110" w:name="page111"/>
    <w:bookmarkEnd w:id="110"/>
    <w:p>
      <w:pPr>
        <w:ind w:left="10080"/>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20" w:type="dxa"/>
            <w:vAlign w:val="bottom"/>
          </w:tcPr>
          <w:p>
            <w:pPr>
              <w:spacing w:after="0"/>
              <w:rPr>
                <w:sz w:val="20"/>
                <w:szCs w:val="20"/>
                <w:color w:val="auto"/>
              </w:rPr>
            </w:pPr>
          </w:p>
        </w:tc>
        <w:tc>
          <w:tcPr>
            <w:tcW w:w="8500" w:type="dxa"/>
            <w:vAlign w:val="bottom"/>
            <w:gridSpan w:val="3"/>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w w:val="99"/>
              </w:rPr>
              <w:t>PRE-FUNDED COMMON STOCK PURCHASE WARRANT</w:t>
            </w:r>
          </w:p>
        </w:tc>
      </w:tr>
      <w:tr>
        <w:trPr>
          <w:trHeight w:val="432"/>
        </w:trPr>
        <w:tc>
          <w:tcPr>
            <w:tcW w:w="2520" w:type="dxa"/>
            <w:vAlign w:val="bottom"/>
          </w:tcPr>
          <w:p>
            <w:pPr>
              <w:spacing w:after="0"/>
              <w:rPr>
                <w:sz w:val="24"/>
                <w:szCs w:val="24"/>
                <w:color w:val="auto"/>
              </w:rPr>
            </w:pPr>
          </w:p>
        </w:tc>
        <w:tc>
          <w:tcPr>
            <w:tcW w:w="8500" w:type="dxa"/>
            <w:vAlign w:val="bottom"/>
            <w:gridSpan w:val="3"/>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RANI THERAPEUTICS HOLDINGS, INC.</w:t>
            </w:r>
          </w:p>
        </w:tc>
      </w:tr>
      <w:tr>
        <w:trPr>
          <w:trHeight w:val="418"/>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Warrant Shares: [_______]</w:t>
            </w:r>
          </w:p>
        </w:tc>
        <w:tc>
          <w:tcPr>
            <w:tcW w:w="8500" w:type="dxa"/>
            <w:vAlign w:val="bottom"/>
            <w:gridSpan w:val="3"/>
          </w:tcPr>
          <w:p>
            <w:pPr>
              <w:ind w:left="5880"/>
              <w:spacing w:after="0"/>
              <w:rPr>
                <w:sz w:val="20"/>
                <w:szCs w:val="20"/>
                <w:color w:val="auto"/>
              </w:rPr>
            </w:pPr>
            <w:r>
              <w:rPr>
                <w:rFonts w:ascii="Times New Roman" w:cs="Times New Roman" w:eastAsia="Times New Roman" w:hAnsi="Times New Roman"/>
                <w:sz w:val="18"/>
                <w:szCs w:val="18"/>
                <w:color w:val="auto"/>
                <w:w w:val="99"/>
              </w:rPr>
              <w:t>Original Issue Date: [         ], 2025</w:t>
            </w:r>
          </w:p>
        </w:tc>
      </w:tr>
      <w:tr>
        <w:trPr>
          <w:trHeight w:val="20"/>
        </w:trPr>
        <w:tc>
          <w:tcPr>
            <w:tcW w:w="25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PRE-FUNDED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[_____________]</w:t>
      </w:r>
    </w:p>
    <w:p>
      <w:pPr>
        <w:spacing w:after="0" w:line="27"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7"/>
          <w:szCs w:val="17"/>
          <w:color w:val="auto"/>
        </w:rPr>
        <w:t>or its assigns (the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7"/>
          <w:szCs w:val="17"/>
          <w:u w:val="single" w:color="auto"/>
          <w:color w:val="auto"/>
        </w:rPr>
        <w:t>Initial Exercise Date</w:t>
      </w:r>
      <w:r>
        <w:rPr>
          <w:rFonts w:ascii="Times New Roman" w:cs="Times New Roman" w:eastAsia="Times New Roman" w:hAnsi="Times New Roman"/>
          <w:sz w:val="17"/>
          <w:szCs w:val="17"/>
          <w:color w:val="auto"/>
        </w:rPr>
        <w:t>”) and until this Warrant is exercised in full (the “</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but not thereafter, to subscribe for and purchase from Rani Therapeutics Holdings,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up to [______] shares (as subject to adjustment</w:t>
      </w:r>
    </w:p>
    <w:p>
      <w:pPr>
        <w:ind w:right="100"/>
        <w:spacing w:after="0" w:line="260" w:lineRule="auto"/>
        <w:rPr>
          <w:sz w:val="20"/>
          <w:szCs w:val="20"/>
          <w:color w:val="auto"/>
        </w:rPr>
      </w:pPr>
      <w:r>
        <w:rPr>
          <w:rFonts w:ascii="Times New Roman" w:cs="Times New Roman" w:eastAsia="Times New Roman" w:hAnsi="Times New Roman"/>
          <w:sz w:val="18"/>
          <w:szCs w:val="18"/>
          <w:color w:val="auto"/>
        </w:rPr>
        <w:t>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Class A Common Stock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The purchase price of one share of Common Stock under this Warrant shall be equal to the Exercise Price, as defined in Section 2(b).</w:t>
      </w:r>
    </w:p>
    <w:p>
      <w:pPr>
        <w:spacing w:after="0" w:line="181" w:lineRule="exact"/>
        <w:rPr>
          <w:sz w:val="20"/>
          <w:szCs w:val="20"/>
          <w:color w:val="auto"/>
        </w:rPr>
      </w:pPr>
    </w:p>
    <w:p>
      <w:pPr>
        <w:ind w:right="680" w:firstLine="440"/>
        <w:spacing w:after="0" w:line="312" w:lineRule="auto"/>
        <w:rPr>
          <w:sz w:val="20"/>
          <w:szCs w:val="20"/>
          <w:color w:val="auto"/>
        </w:rPr>
      </w:pPr>
      <w:r>
        <w:rPr>
          <w:rFonts w:ascii="Times New Roman" w:cs="Times New Roman" w:eastAsia="Times New Roman" w:hAnsi="Times New Roman"/>
          <w:sz w:val="17"/>
          <w:szCs w:val="17"/>
          <w:u w:val="single" w:color="auto"/>
          <w:color w:val="auto"/>
        </w:rPr>
        <w:t>Section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7"/>
          <w:szCs w:val="17"/>
          <w:u w:val="single" w:color="auto"/>
          <w:color w:val="auto"/>
        </w:rPr>
        <w:t>Purchase Agreement</w:t>
      </w:r>
      <w:r>
        <w:rPr>
          <w:rFonts w:ascii="Times New Roman" w:cs="Times New Roman" w:eastAsia="Times New Roman" w:hAnsi="Times New Roman"/>
          <w:sz w:val="17"/>
          <w:szCs w:val="17"/>
          <w:color w:val="auto"/>
        </w:rPr>
        <w:t>”), dated October 16, 2025, among the Company and the purchasers signatory thereto.</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right="40" w:firstLine="419"/>
        <w:spacing w:after="0" w:line="261" w:lineRule="auto"/>
        <w:tabs>
          <w:tab w:leader="none" w:pos="104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Within the earlier of (i) one (1) Trading Day and (ii) the number of Trading Days comprising the Standard Settlement Period (as defined in Section 2(d)(i) herein) following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111" w:name="page112"/>
    <w:bookmarkEnd w:id="11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8"/>
          <w:szCs w:val="18"/>
          <w:b w:val="1"/>
          <w:bCs w:val="1"/>
          <w:color w:val="auto"/>
        </w:rPr>
        <w:t>The Holder and any assignee, by acceptance of this 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89" w:lineRule="exact"/>
        <w:rPr>
          <w:sz w:val="20"/>
          <w:szCs w:val="20"/>
          <w:color w:val="auto"/>
        </w:rPr>
      </w:pPr>
    </w:p>
    <w:p>
      <w:pPr>
        <w:ind w:firstLine="419"/>
        <w:spacing w:after="0" w:line="256" w:lineRule="auto"/>
        <w:tabs>
          <w:tab w:leader="none" w:pos="61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aggregate exercise price of this Warrant, except for a nominal exercise price of $0.0001 per Warrant Share, was pre-funded to the Company on or prior to the Closing Date and, consequently, no additional consideration (other than the nominal exercise price of $0.0001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share of Common Stock under this Warrant shall be $0.0001,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right="180" w:firstLine="419"/>
        <w:spacing w:after="0" w:line="282" w:lineRule="auto"/>
        <w:tabs>
          <w:tab w:leader="none" w:pos="60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This Warrant may also be exercised, in whole or in part, at such time by means of a “cashless exercise” in which the Holder shall be entitled to receive a number of Warrant Shares equal to the quotient obtained by dividing [(A-B) (X)] by (A), where:</w:t>
      </w:r>
    </w:p>
    <w:p>
      <w:pPr>
        <w:spacing w:after="0" w:line="67" w:lineRule="exact"/>
        <w:rPr>
          <w:sz w:val="20"/>
          <w:szCs w:val="20"/>
          <w:color w:val="auto"/>
        </w:rPr>
      </w:pPr>
    </w:p>
    <w:p>
      <w:pPr>
        <w:ind w:left="1520" w:right="80" w:hanging="769"/>
        <w:spacing w:after="0" w:line="276" w:lineRule="auto"/>
        <w:tabs>
          <w:tab w:leader="none" w:pos="1500" w:val="left"/>
        </w:tabs>
        <w:rPr>
          <w:sz w:val="20"/>
          <w:szCs w:val="20"/>
          <w:color w:val="auto"/>
        </w:rPr>
      </w:pPr>
      <w:r>
        <w:rPr>
          <w:rFonts w:ascii="Times New Roman" w:cs="Times New Roman" w:eastAsia="Times New Roman" w:hAnsi="Times New Roman"/>
          <w:sz w:val="18"/>
          <w:szCs w:val="18"/>
          <w:color w:val="auto"/>
        </w:rPr>
        <w:t>(A)  =</w:t>
      </w:r>
      <w:r>
        <w:rPr>
          <w:sz w:val="20"/>
          <w:szCs w:val="20"/>
          <w:color w:val="auto"/>
        </w:rPr>
        <w:tab/>
      </w:r>
      <w:r>
        <w:rPr>
          <w:rFonts w:ascii="Times New Roman" w:cs="Times New Roman" w:eastAsia="Times New Roman" w:hAnsi="Times New Roman"/>
          <w:sz w:val="17"/>
          <w:szCs w:val="17"/>
          <w:color w:val="auto"/>
        </w:rPr>
        <w:t>as applicable: (i) the VWAP (as defined below) on the Trading Day immediately preceding the date of the applicable Notice of Exercise if such Notice of Exercise is (1) delivered pursuant to Section 2(a) hereof on a day that is not a Trading Day or</w:t>
      </w:r>
    </w:p>
    <w:p>
      <w:pPr>
        <w:spacing w:after="0" w:line="1" w:lineRule="exact"/>
        <w:rPr>
          <w:sz w:val="20"/>
          <w:szCs w:val="20"/>
          <w:color w:val="auto"/>
        </w:rPr>
      </w:pPr>
    </w:p>
    <w:p>
      <w:pPr>
        <w:jc w:val="both"/>
        <w:ind w:left="1520" w:right="40" w:firstLine="7"/>
        <w:spacing w:after="0" w:line="255" w:lineRule="auto"/>
        <w:tabs>
          <w:tab w:leader="none" w:pos="177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w:t>
      </w:r>
    </w:p>
    <w:p>
      <w:pPr>
        <w:spacing w:after="0" w:line="11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20"/>
          </w:cols>
          <w:pgMar w:left="880" w:top="270" w:right="499" w:bottom="1440" w:gutter="0" w:footer="0" w:header="0"/>
        </w:sectPr>
      </w:pPr>
    </w:p>
    <w:bookmarkStart w:id="112" w:name="page113"/>
    <w:bookmarkEnd w:id="112"/>
    <w:p>
      <w:pPr>
        <w:ind w:left="1520" w:right="120" w:firstLine="7"/>
        <w:spacing w:after="0" w:line="261" w:lineRule="auto"/>
        <w:tabs>
          <w:tab w:leader="none" w:pos="176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delivered within two</w:t>
      </w:r>
    </w:p>
    <w:p>
      <w:pPr>
        <w:ind w:left="15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hours thereafter (including until two (2) hours after the close of “regular trading hours” on a Trading Day) or (iii) the VWAP on the date of the applicable Notice of Exercise if the date of such Notice of Exercise is a Trading Day and such Notice of Exercise is delivered pursuant to Section 2(a) hereof following the close of “regular trading hours” on such Trading Day;</w:t>
      </w:r>
    </w:p>
    <w:p>
      <w:pPr>
        <w:spacing w:after="0" w:line="94" w:lineRule="exact"/>
        <w:rPr>
          <w:sz w:val="20"/>
          <w:szCs w:val="20"/>
          <w:color w:val="auto"/>
        </w:rPr>
      </w:pPr>
    </w:p>
    <w:p>
      <w:pPr>
        <w:ind w:left="760"/>
        <w:spacing w:after="0"/>
        <w:tabs>
          <w:tab w:leader="none" w:pos="1500" w:val="left"/>
        </w:tabs>
        <w:rPr>
          <w:sz w:val="20"/>
          <w:szCs w:val="20"/>
          <w:color w:val="auto"/>
        </w:rPr>
      </w:pPr>
      <w:r>
        <w:rPr>
          <w:rFonts w:ascii="Times New Roman" w:cs="Times New Roman" w:eastAsia="Times New Roman" w:hAnsi="Times New Roman"/>
          <w:sz w:val="18"/>
          <w:szCs w:val="18"/>
          <w:color w:val="auto"/>
        </w:rPr>
        <w:t>(B)  =</w:t>
      </w:r>
      <w:r>
        <w:rPr>
          <w:sz w:val="20"/>
          <w:szCs w:val="20"/>
          <w:color w:val="auto"/>
        </w:rPr>
        <w:tab/>
      </w:r>
      <w:r>
        <w:rPr>
          <w:rFonts w:ascii="Times New Roman" w:cs="Times New Roman" w:eastAsia="Times New Roman" w:hAnsi="Times New Roman"/>
          <w:sz w:val="17"/>
          <w:szCs w:val="17"/>
          <w:color w:val="auto"/>
        </w:rPr>
        <w:t>the Exercise Price of this Warrant, as adjusted hereunder; and</w:t>
      </w:r>
    </w:p>
    <w:p>
      <w:pPr>
        <w:spacing w:after="0" w:line="131" w:lineRule="exact"/>
        <w:rPr>
          <w:sz w:val="20"/>
          <w:szCs w:val="20"/>
          <w:color w:val="auto"/>
        </w:rPr>
      </w:pPr>
    </w:p>
    <w:p>
      <w:pPr>
        <w:ind w:left="1520" w:right="460" w:hanging="769"/>
        <w:spacing w:after="0" w:line="282" w:lineRule="auto"/>
        <w:tabs>
          <w:tab w:leader="none" w:pos="1500" w:val="left"/>
        </w:tabs>
        <w:rPr>
          <w:sz w:val="20"/>
          <w:szCs w:val="20"/>
          <w:color w:val="auto"/>
        </w:rPr>
      </w:pPr>
      <w:r>
        <w:rPr>
          <w:rFonts w:ascii="Times New Roman" w:cs="Times New Roman" w:eastAsia="Times New Roman" w:hAnsi="Times New Roman"/>
          <w:sz w:val="18"/>
          <w:szCs w:val="18"/>
          <w:color w:val="auto"/>
        </w:rPr>
        <w:t>(X)  =</w:t>
      </w:r>
      <w:r>
        <w:rPr>
          <w:sz w:val="20"/>
          <w:szCs w:val="20"/>
          <w:color w:val="auto"/>
        </w:rPr>
        <w:tab/>
      </w:r>
      <w:r>
        <w:rPr>
          <w:rFonts w:ascii="Times New Roman" w:cs="Times New Roman" w:eastAsia="Times New Roman" w:hAnsi="Times New Roman"/>
          <w:sz w:val="18"/>
          <w:szCs w:val="18"/>
          <w:color w:val="auto"/>
        </w:rPr>
        <w:t>the number of Warrant Shares that would be issuable upon exercise of this Warrant in accordance with the terms of this Warrant if such exercise were by means of a cash exercise rather than a cashless exercise.</w:t>
      </w:r>
    </w:p>
    <w:p>
      <w:pPr>
        <w:spacing w:after="0" w:line="54" w:lineRule="exact"/>
        <w:rPr>
          <w:sz w:val="20"/>
          <w:szCs w:val="20"/>
          <w:color w:val="auto"/>
        </w:rPr>
      </w:pPr>
    </w:p>
    <w:p>
      <w:pPr>
        <w:ind w:firstLine="423"/>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holding period of the Warrant Shares being issued may be tacked on to the holding period of this Warrant. The Company agrees not to take any position contrary to this Section 2(c).</w:t>
      </w:r>
    </w:p>
    <w:p>
      <w:pPr>
        <w:spacing w:after="0" w:line="68" w:lineRule="exact"/>
        <w:rPr>
          <w:sz w:val="20"/>
          <w:szCs w:val="20"/>
          <w:color w:val="auto"/>
        </w:rPr>
      </w:pPr>
    </w:p>
    <w:p>
      <w:pPr>
        <w:ind w:right="100" w:firstLine="423"/>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Pre-Funded Warrants then outstanding and reasonably acceptable to the Company, the fees and expenses of which shall be paid by the Company.</w:t>
      </w:r>
    </w:p>
    <w:p>
      <w:pPr>
        <w:spacing w:after="0" w:line="86" w:lineRule="exact"/>
        <w:rPr>
          <w:sz w:val="20"/>
          <w:szCs w:val="20"/>
          <w:color w:val="auto"/>
        </w:rPr>
      </w:pPr>
    </w:p>
    <w:p>
      <w:pPr>
        <w:ind w:right="20" w:firstLine="423"/>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OTCQB Venture Market (“OTCQB”) or the OTCQX Best Market (“OTCQX”) is not a Trading Market, the volume weighted average price of the Common Stock for such date (or the nearest preceding date) on OTCQB or</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0"/>
          </w:cols>
          <w:pgMar w:left="880" w:top="270" w:right="459" w:bottom="1440" w:gutter="0" w:footer="0" w:header="0"/>
        </w:sectPr>
      </w:pPr>
    </w:p>
    <w:bookmarkStart w:id="113" w:name="page114"/>
    <w:bookmarkEnd w:id="113"/>
    <w:p>
      <w:pPr>
        <w:ind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OTCQX as applicable, (c) if the Common Stock is not then listed or quoted for trading on OTCQB or OTCQX and if prices for the Common Stock are then reported on the Pink Open Market (“Pink Market”) operated by the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Pre-Funded Warrants then outstanding and reasonably acceptable to the Company, the fees and expenses of which shall be paid by the Company.</w:t>
      </w:r>
    </w:p>
    <w:p>
      <w:pPr>
        <w:spacing w:after="0" w:line="79" w:lineRule="exact"/>
        <w:rPr>
          <w:sz w:val="20"/>
          <w:szCs w:val="20"/>
          <w:color w:val="auto"/>
        </w:rPr>
      </w:pPr>
    </w:p>
    <w:p>
      <w:pPr>
        <w:ind w:left="620" w:hanging="201"/>
        <w:spacing w:after="0"/>
        <w:tabs>
          <w:tab w:leader="none" w:pos="6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p>
    <w:p>
      <w:pPr>
        <w:spacing w:after="0" w:line="117" w:lineRule="exact"/>
        <w:rPr>
          <w:rFonts w:ascii="Times New Roman" w:cs="Times New Roman" w:eastAsia="Times New Roman" w:hAnsi="Times New Roman"/>
          <w:sz w:val="18"/>
          <w:szCs w:val="18"/>
          <w:color w:val="auto"/>
        </w:rPr>
      </w:pPr>
    </w:p>
    <w:p>
      <w:pPr>
        <w:ind w:left="1520" w:hanging="149"/>
        <w:spacing w:after="0"/>
        <w:tabs>
          <w:tab w:leader="none" w:pos="152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w:t>
      </w:r>
    </w:p>
    <w:p>
      <w:pPr>
        <w:spacing w:after="0" w:line="27" w:lineRule="exact"/>
        <w:rPr>
          <w:rFonts w:ascii="Times New Roman" w:cs="Times New Roman" w:eastAsia="Times New Roman" w:hAnsi="Times New Roman"/>
          <w:sz w:val="18"/>
          <w:szCs w:val="18"/>
          <w:color w:val="auto"/>
        </w:rPr>
      </w:pPr>
    </w:p>
    <w:p>
      <w:pPr>
        <w:ind w:left="98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7"/>
          <w:szCs w:val="17"/>
          <w:u w:val="single" w:color="auto"/>
          <w:color w:val="auto"/>
        </w:rPr>
        <w:t>DWAC</w:t>
      </w:r>
      <w:r>
        <w:rPr>
          <w:rFonts w:ascii="Times New Roman" w:cs="Times New Roman" w:eastAsia="Times New Roman" w:hAnsi="Times New Roman"/>
          <w:sz w:val="17"/>
          <w:szCs w:val="17"/>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7"/>
          <w:szCs w:val="17"/>
          <w:u w:val="single" w:color="auto"/>
          <w:color w:val="auto"/>
        </w:rPr>
        <w:t>Warrant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Share Delivery Date</w:t>
      </w:r>
      <w:r>
        <w:rPr>
          <w:rFonts w:ascii="Times New Roman" w:cs="Times New Roman" w:eastAsia="Times New Roman" w:hAnsi="Times New Roman"/>
          <w:sz w:val="17"/>
          <w:szCs w:val="17"/>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7"/>
          <w:szCs w:val="17"/>
          <w:color w:val="auto"/>
        </w:rPr>
        <w:t>) Trading Day after the Warrant Share Delivery Date) for each Trading Day after such Warrant Share Delivery Date until such Warrant Shares</w:t>
      </w:r>
    </w:p>
    <w:p>
      <w:pPr>
        <w:spacing w:after="0" w:line="33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80"/>
          </w:cols>
          <w:pgMar w:left="880" w:top="270" w:right="439" w:bottom="1440" w:gutter="0" w:footer="0" w:header="0"/>
        </w:sectPr>
      </w:pPr>
    </w:p>
    <w:bookmarkStart w:id="114" w:name="page115"/>
    <w:bookmarkEnd w:id="114"/>
    <w:p>
      <w:pPr>
        <w:ind w:left="420"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72" w:lineRule="exact"/>
        <w:rPr>
          <w:sz w:val="20"/>
          <w:szCs w:val="20"/>
          <w:color w:val="auto"/>
        </w:rPr>
      </w:pPr>
    </w:p>
    <w:p>
      <w:pPr>
        <w:ind w:left="420" w:firstLine="391"/>
        <w:spacing w:after="0" w:line="261" w:lineRule="auto"/>
        <w:tabs>
          <w:tab w:leader="none" w:pos="99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71" w:lineRule="exact"/>
        <w:rPr>
          <w:rFonts w:ascii="Times New Roman" w:cs="Times New Roman" w:eastAsia="Times New Roman" w:hAnsi="Times New Roman"/>
          <w:sz w:val="18"/>
          <w:szCs w:val="18"/>
          <w:color w:val="auto"/>
        </w:rPr>
      </w:pPr>
    </w:p>
    <w:p>
      <w:pPr>
        <w:ind w:left="420" w:firstLine="391"/>
        <w:spacing w:after="0" w:line="282" w:lineRule="auto"/>
        <w:tabs>
          <w:tab w:leader="none" w:pos="104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53" w:lineRule="exact"/>
        <w:rPr>
          <w:rFonts w:ascii="Times New Roman" w:cs="Times New Roman" w:eastAsia="Times New Roman" w:hAnsi="Times New Roman"/>
          <w:sz w:val="18"/>
          <w:szCs w:val="18"/>
          <w:color w:val="auto"/>
        </w:rPr>
      </w:pPr>
    </w:p>
    <w:p>
      <w:pPr>
        <w:ind w:left="420" w:right="40" w:firstLine="391"/>
        <w:spacing w:after="0" w:line="253" w:lineRule="auto"/>
        <w:tabs>
          <w:tab w:leader="none" w:pos="102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w:t>
      </w:r>
    </w:p>
    <w:p>
      <w:pPr>
        <w:spacing w:after="0" w:line="12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000"/>
          </w:cols>
          <w:pgMar w:left="1440" w:top="270" w:right="459" w:bottom="1440" w:gutter="0" w:footer="0" w:header="0"/>
        </w:sectPr>
      </w:pPr>
    </w:p>
    <w:bookmarkStart w:id="115" w:name="page116"/>
    <w:bookmarkEnd w:id="115"/>
    <w:p>
      <w:pPr>
        <w:ind w:left="9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81" w:lineRule="exact"/>
        <w:rPr>
          <w:sz w:val="20"/>
          <w:szCs w:val="20"/>
          <w:color w:val="auto"/>
        </w:rPr>
      </w:pPr>
    </w:p>
    <w:p>
      <w:pPr>
        <w:ind w:left="980" w:firstLine="383"/>
        <w:spacing w:after="0" w:line="261"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72" w:lineRule="exact"/>
        <w:rPr>
          <w:sz w:val="20"/>
          <w:szCs w:val="20"/>
          <w:color w:val="auto"/>
        </w:rPr>
      </w:pPr>
    </w:p>
    <w:p>
      <w:pPr>
        <w:ind w:left="980" w:right="20" w:firstLine="391"/>
        <w:spacing w:after="0" w:line="254" w:lineRule="auto"/>
        <w:tabs>
          <w:tab w:leader="none" w:pos="1593"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80" w:lineRule="exact"/>
        <w:rPr>
          <w:rFonts w:ascii="Times New Roman" w:cs="Times New Roman" w:eastAsia="Times New Roman" w:hAnsi="Times New Roman"/>
          <w:sz w:val="18"/>
          <w:szCs w:val="18"/>
          <w:color w:val="auto"/>
        </w:rPr>
      </w:pPr>
    </w:p>
    <w:p>
      <w:pPr>
        <w:ind w:left="980" w:right="200" w:firstLine="391"/>
        <w:spacing w:after="0" w:line="282" w:lineRule="auto"/>
        <w:tabs>
          <w:tab w:leader="none" w:pos="1643"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53" w:lineRule="exact"/>
        <w:rPr>
          <w:rFonts w:ascii="Times New Roman" w:cs="Times New Roman" w:eastAsia="Times New Roman" w:hAnsi="Times New Roman"/>
          <w:sz w:val="18"/>
          <w:szCs w:val="18"/>
          <w:color w:val="auto"/>
        </w:rPr>
      </w:pPr>
    </w:p>
    <w:p>
      <w:pPr>
        <w:ind w:right="40" w:firstLine="419"/>
        <w:spacing w:after="0" w:line="289" w:lineRule="auto"/>
        <w:tabs>
          <w:tab w:leader="none" w:pos="608"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Exercise Limitations</w:t>
      </w:r>
      <w:r>
        <w:rPr>
          <w:rFonts w:ascii="Times New Roman" w:cs="Times New Roman" w:eastAsia="Times New Roman" w:hAnsi="Times New Roman"/>
          <w:sz w:val="17"/>
          <w:szCs w:val="17"/>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w:t>
      </w:r>
    </w:p>
    <w:p>
      <w:pPr>
        <w:spacing w:after="0" w:line="9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70" w:right="459" w:bottom="1440" w:gutter="0" w:footer="0" w:header="0"/>
        </w:sectPr>
      </w:pPr>
    </w:p>
    <w:bookmarkStart w:id="116" w:name="page117"/>
    <w:bookmarkEnd w:id="116"/>
    <w:p>
      <w:pPr>
        <w:jc w:val="both"/>
        <w:ind w:left="4" w:right="12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Holder or any of the Holder’s Affiliates (such Persons, “</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w:t>
      </w:r>
    </w:p>
    <w:p>
      <w:pPr>
        <w:spacing w:after="0" w:line="3" w:lineRule="exact"/>
        <w:rPr>
          <w:sz w:val="20"/>
          <w:szCs w:val="20"/>
          <w:color w:val="auto"/>
        </w:rPr>
      </w:pPr>
    </w:p>
    <w:p>
      <w:pPr>
        <w:ind w:left="4" w:hanging="4"/>
        <w:spacing w:after="0" w:line="250" w:lineRule="auto"/>
        <w:tabs>
          <w:tab w:leader="none" w:pos="26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w:t>
      </w:r>
    </w:p>
    <w:p>
      <w:pPr>
        <w:spacing w:after="0" w:line="13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4"/>
          </w:cols>
          <w:pgMar w:left="876" w:top="270" w:right="459" w:bottom="1440" w:gutter="0" w:footer="0" w:header="0"/>
        </w:sectPr>
      </w:pPr>
    </w:p>
    <w:bookmarkStart w:id="117" w:name="page118"/>
    <w:bookmarkEnd w:id="117"/>
    <w:p>
      <w:pPr>
        <w:ind w:left="540"/>
        <w:spacing w:after="0" w:line="24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[9.99/4.99%]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69" w:lineRule="auto"/>
        <w:tabs>
          <w:tab w:leader="none" w:pos="608"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Stock Dividends and Splits</w:t>
      </w:r>
      <w:r>
        <w:rPr>
          <w:rFonts w:ascii="Times New Roman" w:cs="Times New Roman" w:eastAsia="Times New Roman" w:hAnsi="Times New Roman"/>
          <w:sz w:val="17"/>
          <w:szCs w:val="17"/>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73" w:lineRule="exact"/>
        <w:rPr>
          <w:rFonts w:ascii="Times New Roman" w:cs="Times New Roman" w:eastAsia="Times New Roman" w:hAnsi="Times New Roman"/>
          <w:sz w:val="17"/>
          <w:szCs w:val="17"/>
          <w:color w:val="auto"/>
        </w:rPr>
      </w:pPr>
    </w:p>
    <w:p>
      <w:pPr>
        <w:jc w:val="both"/>
        <w:ind w:right="100" w:firstLine="419"/>
        <w:spacing w:after="0" w:line="258" w:lineRule="auto"/>
        <w:tabs>
          <w:tab w:leader="none" w:pos="61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118" w:name="page119"/>
    <w:bookmarkEnd w:id="118"/>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81" w:lineRule="exact"/>
        <w:rPr>
          <w:sz w:val="20"/>
          <w:szCs w:val="20"/>
          <w:color w:val="auto"/>
        </w:rPr>
      </w:pPr>
    </w:p>
    <w:p>
      <w:pPr>
        <w:ind w:right="20" w:firstLine="419"/>
        <w:spacing w:after="0" w:line="253" w:lineRule="auto"/>
        <w:tabs>
          <w:tab w:leader="none" w:pos="60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79" w:lineRule="exact"/>
        <w:rPr>
          <w:rFonts w:ascii="Times New Roman" w:cs="Times New Roman" w:eastAsia="Times New Roman" w:hAnsi="Times New Roman"/>
          <w:sz w:val="18"/>
          <w:szCs w:val="18"/>
          <w:color w:val="auto"/>
        </w:rPr>
      </w:pPr>
    </w:p>
    <w:p>
      <w:pPr>
        <w:ind w:right="80" w:firstLine="419"/>
        <w:spacing w:after="0" w:line="272" w:lineRule="auto"/>
        <w:tabs>
          <w:tab w:leader="none" w:pos="618"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greater than 50% of the outstanding Common Stock or greater than 50%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w:t>
      </w:r>
    </w:p>
    <w:p>
      <w:pPr>
        <w:spacing w:after="0" w:line="10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40"/>
          </w:cols>
          <w:pgMar w:left="880" w:top="270" w:right="479" w:bottom="1440" w:gutter="0" w:footer="0" w:header="0"/>
        </w:sectPr>
      </w:pPr>
    </w:p>
    <w:bookmarkStart w:id="119" w:name="page120"/>
    <w:bookmarkEnd w:id="119"/>
    <w:p>
      <w:pPr>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shares of Common Stock or greater than 50% of the voting power of the common equity of the Company (which, for the avoidance of doubt, shall not include transactions consummated by the Company for the principal purpose of raising capital for the Company) (each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7"/>
          <w:szCs w:val="17"/>
          <w:u w:val="single" w:color="auto"/>
          <w:color w:val="auto"/>
        </w:rPr>
        <w:t>Alternate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Consideration</w:t>
      </w:r>
      <w:r>
        <w:rPr>
          <w:rFonts w:ascii="Times New Roman" w:cs="Times New Roman" w:eastAsia="Times New Roman" w:hAnsi="Times New Roman"/>
          <w:sz w:val="17"/>
          <w:szCs w:val="17"/>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7"/>
          <w:szCs w:val="17"/>
          <w:u w:val="single" w:color="auto"/>
          <w:color w:val="auto"/>
        </w:rPr>
        <w:t>Successor Entity</w:t>
      </w:r>
      <w:r>
        <w:rPr>
          <w:rFonts w:ascii="Times New Roman" w:cs="Times New Roman" w:eastAsia="Times New Roman" w:hAnsi="Times New Roman"/>
          <w:sz w:val="17"/>
          <w:szCs w:val="17"/>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w:t>
      </w:r>
    </w:p>
    <w:p>
      <w:pPr>
        <w:spacing w:after="0" w:line="32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40"/>
          </w:cols>
          <w:pgMar w:left="880" w:top="270" w:right="479" w:bottom="1440" w:gutter="0" w:footer="0" w:header="0"/>
        </w:sectPr>
      </w:pPr>
    </w:p>
    <w:bookmarkStart w:id="120" w:name="page121"/>
    <w:bookmarkEnd w:id="120"/>
    <w:p>
      <w:pPr>
        <w:ind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w:t>
      </w:r>
    </w:p>
    <w:p>
      <w:pPr>
        <w:spacing w:after="0" w:line="86" w:lineRule="exact"/>
        <w:rPr>
          <w:sz w:val="20"/>
          <w:szCs w:val="20"/>
          <w:color w:val="auto"/>
        </w:rPr>
      </w:pPr>
    </w:p>
    <w:p>
      <w:pPr>
        <w:ind w:right="60" w:firstLine="419"/>
        <w:spacing w:after="0" w:line="266" w:lineRule="auto"/>
        <w:tabs>
          <w:tab w:leader="none" w:pos="60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67" w:lineRule="exact"/>
        <w:rPr>
          <w:rFonts w:ascii="Times New Roman" w:cs="Times New Roman" w:eastAsia="Times New Roman" w:hAnsi="Times New Roman"/>
          <w:sz w:val="18"/>
          <w:szCs w:val="18"/>
          <w:color w:val="auto"/>
        </w:rPr>
      </w:pPr>
    </w:p>
    <w:p>
      <w:pPr>
        <w:ind w:left="580" w:hanging="161"/>
        <w:spacing w:after="0"/>
        <w:tabs>
          <w:tab w:leader="none" w:pos="5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980" w:right="460" w:firstLine="391"/>
        <w:spacing w:after="0" w:line="289" w:lineRule="auto"/>
        <w:tabs>
          <w:tab w:leader="none" w:pos="1503"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49" w:lineRule="exact"/>
        <w:rPr>
          <w:rFonts w:ascii="Times New Roman" w:cs="Times New Roman" w:eastAsia="Times New Roman" w:hAnsi="Times New Roman"/>
          <w:sz w:val="17"/>
          <w:szCs w:val="17"/>
          <w:color w:val="auto"/>
        </w:rPr>
      </w:pPr>
    </w:p>
    <w:p>
      <w:pPr>
        <w:ind w:left="980" w:firstLine="391"/>
        <w:spacing w:after="0" w:line="254" w:lineRule="auto"/>
        <w:tabs>
          <w:tab w:leader="none" w:pos="1553"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880" w:top="270" w:right="459" w:bottom="1440" w:gutter="0" w:footer="0" w:header="0"/>
        </w:sectPr>
      </w:pPr>
    </w:p>
    <w:bookmarkStart w:id="121" w:name="page122"/>
    <w:bookmarkEnd w:id="121"/>
    <w:p>
      <w:pPr>
        <w:ind w:left="980"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19"/>
        <w:spacing w:after="0" w:line="253" w:lineRule="auto"/>
        <w:tabs>
          <w:tab w:leader="none" w:pos="60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0"/>
          </w:cols>
          <w:pgMar w:left="880" w:top="270" w:right="459" w:bottom="1440" w:gutter="0" w:footer="0" w:header="0"/>
        </w:sectPr>
      </w:pPr>
    </w:p>
    <w:bookmarkStart w:id="122" w:name="page123"/>
    <w:bookmarkEnd w:id="122"/>
    <w:p>
      <w:pPr>
        <w:ind w:right="20" w:firstLine="419"/>
        <w:spacing w:after="0" w:line="256" w:lineRule="auto"/>
        <w:tabs>
          <w:tab w:leader="none" w:pos="61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Original Issue Date and shall be identical with this Warrant except as to the number of Warrant Shares issuable pursuant thereto.</w:t>
      </w:r>
    </w:p>
    <w:p>
      <w:pPr>
        <w:spacing w:after="0" w:line="79" w:lineRule="exact"/>
        <w:rPr>
          <w:rFonts w:ascii="Times New Roman" w:cs="Times New Roman" w:eastAsia="Times New Roman" w:hAnsi="Times New Roman"/>
          <w:sz w:val="18"/>
          <w:szCs w:val="18"/>
          <w:color w:val="auto"/>
        </w:rPr>
      </w:pPr>
    </w:p>
    <w:p>
      <w:pPr>
        <w:ind w:firstLine="419"/>
        <w:spacing w:after="0" w:line="261" w:lineRule="auto"/>
        <w:tabs>
          <w:tab w:leader="none" w:pos="60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71" w:lineRule="exact"/>
        <w:rPr>
          <w:rFonts w:ascii="Times New Roman" w:cs="Times New Roman" w:eastAsia="Times New Roman" w:hAnsi="Times New Roman"/>
          <w:sz w:val="18"/>
          <w:szCs w:val="18"/>
          <w:color w:val="auto"/>
        </w:rPr>
      </w:pPr>
    </w:p>
    <w:p>
      <w:pPr>
        <w:ind w:right="60" w:firstLine="419"/>
        <w:spacing w:after="0" w:line="258" w:lineRule="auto"/>
        <w:tabs>
          <w:tab w:leader="none" w:pos="61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spacing w:after="0" w:line="75" w:lineRule="exact"/>
        <w:rPr>
          <w:rFonts w:ascii="Times New Roman" w:cs="Times New Roman" w:eastAsia="Times New Roman" w:hAnsi="Times New Roman"/>
          <w:sz w:val="18"/>
          <w:szCs w:val="18"/>
          <w:color w:val="auto"/>
        </w:rPr>
      </w:pPr>
    </w:p>
    <w:p>
      <w:pPr>
        <w:ind w:firstLine="419"/>
        <w:spacing w:after="0" w:line="258" w:lineRule="auto"/>
        <w:tabs>
          <w:tab w:leader="none" w:pos="60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In addition to the representation and warranties contained in Section 3.2 of the Purchase Agreement,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419"/>
        <w:spacing w:after="0" w:line="258" w:lineRule="auto"/>
        <w:tabs>
          <w:tab w:leader="none" w:pos="60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40"/>
          </w:cols>
          <w:pgMar w:left="880" w:top="270" w:right="479" w:bottom="1440" w:gutter="0" w:footer="0" w:header="0"/>
        </w:sectPr>
      </w:pPr>
    </w:p>
    <w:bookmarkStart w:id="123" w:name="page124"/>
    <w:bookmarkEnd w:id="123"/>
    <w:p>
      <w:pPr>
        <w:ind w:right="420" w:firstLine="419"/>
        <w:spacing w:after="0" w:line="312" w:lineRule="auto"/>
        <w:tabs>
          <w:tab w:leader="none" w:pos="618"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31" w:lineRule="exact"/>
        <w:rPr>
          <w:rFonts w:ascii="Times New Roman" w:cs="Times New Roman" w:eastAsia="Times New Roman" w:hAnsi="Times New Roman"/>
          <w:sz w:val="17"/>
          <w:szCs w:val="17"/>
          <w:color w:val="auto"/>
        </w:rPr>
      </w:pPr>
    </w:p>
    <w:p>
      <w:pPr>
        <w:ind w:left="600" w:hanging="181"/>
        <w:spacing w:after="0"/>
        <w:tabs>
          <w:tab w:leader="none" w:pos="6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firstLine="401"/>
        <w:spacing w:after="0" w:line="253" w:lineRule="auto"/>
        <w:rPr>
          <w:sz w:val="20"/>
          <w:szCs w:val="20"/>
          <w:color w:val="auto"/>
        </w:rPr>
      </w:pPr>
      <w:r>
        <w:rPr>
          <w:rFonts w:ascii="Times New Roman" w:cs="Times New Roman" w:eastAsia="Times New Roman" w:hAnsi="Times New Roman"/>
          <w:sz w:val="18"/>
          <w:szCs w:val="18"/>
          <w:color w:val="auto"/>
        </w:rPr>
        <w:t>The Company covenants that, at all times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86" w:lineRule="exact"/>
        <w:rPr>
          <w:sz w:val="20"/>
          <w:szCs w:val="20"/>
          <w:color w:val="auto"/>
        </w:rPr>
      </w:pPr>
    </w:p>
    <w:p>
      <w:pPr>
        <w:ind w:left="540" w:right="20" w:firstLine="401"/>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86" w:lineRule="exact"/>
        <w:rPr>
          <w:sz w:val="20"/>
          <w:szCs w:val="20"/>
          <w:color w:val="auto"/>
        </w:rPr>
      </w:pPr>
    </w:p>
    <w:p>
      <w:pPr>
        <w:jc w:val="both"/>
        <w:ind w:left="540" w:right="120" w:firstLine="401"/>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80"/>
          </w:cols>
          <w:pgMar w:left="880" w:top="270" w:right="439" w:bottom="1440" w:gutter="0" w:footer="0" w:header="0"/>
        </w:sectPr>
      </w:pPr>
    </w:p>
    <w:bookmarkStart w:id="124" w:name="page125"/>
    <w:bookmarkEnd w:id="124"/>
    <w:p>
      <w:pPr>
        <w:ind w:right="320" w:firstLine="419"/>
        <w:spacing w:after="0" w:line="282" w:lineRule="auto"/>
        <w:tabs>
          <w:tab w:leader="none" w:pos="61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53" w:lineRule="exact"/>
        <w:rPr>
          <w:rFonts w:ascii="Times New Roman" w:cs="Times New Roman" w:eastAsia="Times New Roman" w:hAnsi="Times New Roman"/>
          <w:sz w:val="18"/>
          <w:szCs w:val="18"/>
          <w:color w:val="auto"/>
        </w:rPr>
      </w:pPr>
    </w:p>
    <w:p>
      <w:pPr>
        <w:ind w:right="460" w:firstLine="419"/>
        <w:spacing w:after="0" w:line="282" w:lineRule="auto"/>
        <w:tabs>
          <w:tab w:leader="none" w:pos="60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53" w:lineRule="exact"/>
        <w:rPr>
          <w:rFonts w:ascii="Times New Roman" w:cs="Times New Roman" w:eastAsia="Times New Roman" w:hAnsi="Times New Roman"/>
          <w:sz w:val="18"/>
          <w:szCs w:val="18"/>
          <w:color w:val="auto"/>
        </w:rPr>
      </w:pPr>
    </w:p>
    <w:p>
      <w:pPr>
        <w:ind w:right="20" w:firstLine="419"/>
        <w:spacing w:after="0" w:line="255" w:lineRule="auto"/>
        <w:tabs>
          <w:tab w:leader="none" w:pos="58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80" w:lineRule="exact"/>
        <w:rPr>
          <w:rFonts w:ascii="Times New Roman" w:cs="Times New Roman" w:eastAsia="Times New Roman" w:hAnsi="Times New Roman"/>
          <w:sz w:val="18"/>
          <w:szCs w:val="18"/>
          <w:color w:val="auto"/>
        </w:rPr>
      </w:pPr>
    </w:p>
    <w:p>
      <w:pPr>
        <w:ind w:right="380" w:firstLine="419"/>
        <w:spacing w:after="0" w:line="282" w:lineRule="auto"/>
        <w:tabs>
          <w:tab w:leader="none" w:pos="61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53" w:lineRule="exact"/>
        <w:rPr>
          <w:rFonts w:ascii="Times New Roman" w:cs="Times New Roman" w:eastAsia="Times New Roman" w:hAnsi="Times New Roman"/>
          <w:sz w:val="18"/>
          <w:szCs w:val="18"/>
          <w:color w:val="auto"/>
        </w:rPr>
      </w:pPr>
    </w:p>
    <w:p>
      <w:pPr>
        <w:jc w:val="both"/>
        <w:ind w:right="200" w:firstLine="419"/>
        <w:spacing w:after="0" w:line="261" w:lineRule="auto"/>
        <w:tabs>
          <w:tab w:leader="none" w:pos="61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71" w:lineRule="exact"/>
        <w:rPr>
          <w:rFonts w:ascii="Times New Roman" w:cs="Times New Roman" w:eastAsia="Times New Roman" w:hAnsi="Times New Roman"/>
          <w:sz w:val="18"/>
          <w:szCs w:val="18"/>
          <w:color w:val="auto"/>
        </w:rPr>
      </w:pPr>
    </w:p>
    <w:p>
      <w:pPr>
        <w:ind w:firstLine="419"/>
        <w:spacing w:after="0" w:line="261" w:lineRule="auto"/>
        <w:tabs>
          <w:tab w:leader="none" w:pos="57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71" w:lineRule="exact"/>
        <w:rPr>
          <w:rFonts w:ascii="Times New Roman" w:cs="Times New Roman" w:eastAsia="Times New Roman" w:hAnsi="Times New Roman"/>
          <w:sz w:val="18"/>
          <w:szCs w:val="18"/>
          <w:color w:val="auto"/>
        </w:rPr>
      </w:pPr>
    </w:p>
    <w:p>
      <w:pPr>
        <w:jc w:val="both"/>
        <w:ind w:firstLine="419"/>
        <w:spacing w:after="0" w:line="261" w:lineRule="auto"/>
        <w:tabs>
          <w:tab w:leader="none" w:pos="57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70" w:right="459" w:bottom="1440" w:gutter="0" w:footer="0" w:header="0"/>
        </w:sectPr>
      </w:pPr>
    </w:p>
    <w:bookmarkStart w:id="125" w:name="page126"/>
    <w:bookmarkEnd w:id="125"/>
    <w:p>
      <w:pPr>
        <w:ind w:left="620" w:hanging="201"/>
        <w:spacing w:after="0"/>
        <w:tabs>
          <w:tab w:leader="none" w:pos="62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w:t>
      </w:r>
      <w:r>
        <w:rPr>
          <w:rFonts w:ascii="Times New Roman" w:cs="Times New Roman" w:eastAsia="Times New Roman" w:hAnsi="Times New Roman"/>
          <w:sz w:val="17"/>
          <w:szCs w:val="17"/>
          <w:color w:val="auto"/>
        </w:rPr>
        <w:t>. This Warrant may be modified or amended or the provisions hereof waived with the written consent of the Company and the</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Holder.</w:t>
      </w:r>
    </w:p>
    <w:p>
      <w:pPr>
        <w:spacing w:after="0" w:line="98" w:lineRule="exact"/>
        <w:rPr>
          <w:rFonts w:ascii="Times New Roman" w:cs="Times New Roman" w:eastAsia="Times New Roman" w:hAnsi="Times New Roman"/>
          <w:sz w:val="17"/>
          <w:szCs w:val="17"/>
          <w:color w:val="auto"/>
        </w:rPr>
      </w:pPr>
    </w:p>
    <w:p>
      <w:pPr>
        <w:ind w:right="20" w:firstLine="419"/>
        <w:spacing w:after="0" w:line="266" w:lineRule="auto"/>
        <w:tabs>
          <w:tab w:leader="none" w:pos="57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67" w:lineRule="exact"/>
        <w:rPr>
          <w:rFonts w:ascii="Times New Roman" w:cs="Times New Roman" w:eastAsia="Times New Roman" w:hAnsi="Times New Roman"/>
          <w:sz w:val="18"/>
          <w:szCs w:val="18"/>
          <w:color w:val="auto"/>
        </w:rPr>
      </w:pPr>
    </w:p>
    <w:p>
      <w:pPr>
        <w:ind w:right="180" w:firstLine="419"/>
        <w:spacing w:after="0" w:line="282" w:lineRule="auto"/>
        <w:tabs>
          <w:tab w:leader="none" w:pos="66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0"/>
          </w:cols>
          <w:pgMar w:left="880" w:top="270" w:right="459" w:bottom="1440" w:gutter="0" w:footer="0" w:header="0"/>
        </w:sectPr>
      </w:pPr>
    </w:p>
    <w:bookmarkStart w:id="126" w:name="page127"/>
    <w:bookmarkEnd w:id="126"/>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Company has caused this Warrant to be executed by its officer thereunto duly authorized as of the date first above indicated.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127" w:name="page128"/>
    <w:bookmarkEnd w:id="127"/>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OF EXERCISE</w:t>
      </w:r>
    </w:p>
    <w:p>
      <w:pPr>
        <w:spacing w:after="0" w:line="25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TO:</w:t>
        <w:tab/>
        <w:t>RANI THERAPEUTICS HOLDINGS, INC.</w:t>
      </w:r>
    </w:p>
    <w:p>
      <w:pPr>
        <w:spacing w:after="0" w:line="117" w:lineRule="exact"/>
        <w:rPr>
          <w:sz w:val="20"/>
          <w:szCs w:val="20"/>
          <w:color w:val="auto"/>
        </w:rPr>
      </w:pPr>
    </w:p>
    <w:p>
      <w:pPr>
        <w:ind w:right="180" w:firstLine="987"/>
        <w:spacing w:after="0" w:line="282" w:lineRule="auto"/>
        <w:tabs>
          <w:tab w:leader="none" w:pos="124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ectPr>
          <w:pgSz w:w="11900" w:h="16838" w:orient="portrait"/>
          <w:cols w:equalWidth="0" w:num="1">
            <w:col w:w="10880"/>
          </w:cols>
          <w:pgMar w:left="440" w:top="266" w:right="579" w:bottom="1440" w:gutter="0" w:footer="0" w:header="0"/>
        </w:sectPr>
      </w:pP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9"/>
          <w:szCs w:val="9"/>
          <w:color w:val="auto"/>
        </w:rPr>
        <w:t>[ </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in lawful money of the United States; or</w:t>
      </w:r>
    </w:p>
    <w:p>
      <w:pPr>
        <w:spacing w:after="0" w:line="129" w:lineRule="exact"/>
        <w:rPr>
          <w:sz w:val="20"/>
          <w:szCs w:val="20"/>
          <w:color w:val="auto"/>
        </w:rPr>
      </w:pPr>
    </w:p>
    <w:p>
      <w:pPr>
        <w:sectPr>
          <w:pgSz w:w="11900" w:h="16838" w:orient="portrait"/>
          <w:cols w:equalWidth="0" w:num="2">
            <w:col w:w="1540" w:space="180"/>
            <w:col w:w="9160"/>
          </w:cols>
          <w:pgMar w:left="440" w:top="266" w:right="579" w:bottom="1440" w:gutter="0" w:footer="0" w:header="0"/>
          <w:type w:val="continuous"/>
        </w:sectPr>
      </w:pPr>
    </w:p>
    <w:p>
      <w:pPr>
        <w:ind w:left="1420"/>
        <w:spacing w:after="0"/>
        <w:tabs>
          <w:tab w:leader="none" w:pos="170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 the cancellation of such number of Warrant Shares as is necessary, in accordance with the formula set forth in subsection 2(c),</w:t>
      </w:r>
    </w:p>
    <w:p>
      <w:pPr>
        <w:sectPr>
          <w:pgSz w:w="11900" w:h="16838" w:orient="portrait"/>
          <w:cols w:equalWidth="0" w:num="1">
            <w:col w:w="10880"/>
          </w:cols>
          <w:pgMar w:left="440" w:top="266" w:right="579" w:bottom="1440" w:gutter="0" w:footer="0" w:header="0"/>
          <w:type w:val="continuous"/>
        </w:sectPr>
      </w:pPr>
    </w:p>
    <w:p>
      <w:pPr>
        <w:spacing w:after="0" w:line="27" w:lineRule="exact"/>
        <w:rPr>
          <w:sz w:val="20"/>
          <w:szCs w:val="20"/>
          <w:color w:val="auto"/>
        </w:rPr>
      </w:pPr>
    </w:p>
    <w:p>
      <w:pPr>
        <w:ind w:left="1420" w:right="380"/>
        <w:spacing w:after="0" w:line="260" w:lineRule="auto"/>
        <w:rPr>
          <w:sz w:val="20"/>
          <w:szCs w:val="20"/>
          <w:color w:val="auto"/>
        </w:rPr>
      </w:pPr>
      <w:r>
        <w:rPr>
          <w:rFonts w:ascii="Times New Roman" w:cs="Times New Roman" w:eastAsia="Times New Roman" w:hAnsi="Times New Roman"/>
          <w:sz w:val="18"/>
          <w:szCs w:val="18"/>
          <w:color w:val="auto"/>
        </w:rPr>
        <w:t>to exercise this Warrant with respect to the maximum number of Warrant Shares purchasable pursuant to the cashless exercise procedure set forth in subsection 2(c).</w:t>
      </w:r>
    </w:p>
    <w:p>
      <w:pPr>
        <w:spacing w:after="0" w:line="181" w:lineRule="exact"/>
        <w:rPr>
          <w:sz w:val="20"/>
          <w:szCs w:val="20"/>
          <w:color w:val="auto"/>
        </w:rPr>
      </w:pPr>
    </w:p>
    <w:p>
      <w:pPr>
        <w:ind w:left="1240" w:hanging="253"/>
        <w:spacing w:after="0"/>
        <w:tabs>
          <w:tab w:leader="none" w:pos="12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2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25" w:lineRule="exact"/>
        <w:rPr>
          <w:sz w:val="20"/>
          <w:szCs w:val="20"/>
          <w:color w:val="auto"/>
        </w:rPr>
      </w:pPr>
    </w:p>
    <w:p>
      <w:pPr>
        <w:ind w:right="80" w:firstLine="987"/>
        <w:spacing w:after="0" w:line="282" w:lineRule="auto"/>
        <w:tabs>
          <w:tab w:leader="none" w:pos="124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an “accredited investor” as defined in Regulation D promulgated under the Securities Act of 1933, as amended.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 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ectPr>
          <w:pgSz w:w="11900" w:h="16838" w:orient="portrait"/>
          <w:cols w:equalWidth="0" w:num="1">
            <w:col w:w="10880"/>
          </w:cols>
          <w:pgMar w:left="440" w:top="266" w:right="579" w:bottom="1440" w:gutter="0" w:footer="0" w:header="0"/>
          <w:type w:val="continuous"/>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left="440" w:right="1460"/>
        <w:spacing w:after="0" w:line="409"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(Please Print)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(Please Print)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17145</wp:posOffset>
            </wp:positionV>
            <wp:extent cx="335153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 ______________________</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 ______________________</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1)"/>
      <w:numFmt w:val="lowerRoman"/>
      <w:start w:val="1"/>
    </w:lvl>
  </w:abstractNum>
  <w:abstractNum w:abstractNumId="2">
    <w:nsid w:val="61574095"/>
    <w:multiLevelType w:val="hybridMultilevel"/>
    <w:lvl w:ilvl="0">
      <w:lvlJc w:val="left"/>
      <w:lvlText w:val="(%1)"/>
      <w:numFmt w:val="lowerLetter"/>
      <w:start w:val="2"/>
    </w:lvl>
  </w:abstractNum>
  <w:abstractNum w:abstractNumId="3">
    <w:nsid w:val="7E0C57B1"/>
    <w:multiLevelType w:val="hybridMultilevel"/>
    <w:lvl w:ilvl="0">
      <w:lvlJc w:val="left"/>
      <w:lvlText w:val="(%1)"/>
      <w:numFmt w:val="lowerLetter"/>
      <w:start w:val="7"/>
    </w:lvl>
  </w:abstractNum>
  <w:abstractNum w:abstractNumId="4">
    <w:nsid w:val="77AE35EB"/>
    <w:multiLevelType w:val="hybridMultilevel"/>
    <w:lvl w:ilvl="0">
      <w:lvlJc w:val="left"/>
      <w:lvlText w:val="(%1)"/>
      <w:numFmt w:val="lowerLetter"/>
      <w:start w:val="1"/>
    </w:lvl>
    <w:lvl w:ilvl="1">
      <w:lvlJc w:val="left"/>
      <w:lvlText w:val="(%2)"/>
      <w:numFmt w:val="lowerRoman"/>
      <w:start w:val="1"/>
    </w:lvl>
  </w:abstractNum>
  <w:abstractNum w:abstractNumId="5">
    <w:nsid w:val="579BE4F1"/>
    <w:multiLevelType w:val="hybridMultilevel"/>
    <w:lvl w:ilvl="0">
      <w:lvlJc w:val="left"/>
      <w:lvlText w:val="(%1)"/>
      <w:numFmt w:val="lowerLetter"/>
      <w:start w:val="1"/>
    </w:lvl>
    <w:lvl w:ilvl="1">
      <w:lvlJc w:val="left"/>
      <w:lvlText w:val="(%2)"/>
      <w:numFmt w:val="lowerRoman"/>
      <w:start w:val="1"/>
    </w:lvl>
  </w:abstractNum>
  <w:abstractNum w:abstractNumId="6">
    <w:nsid w:val="310C50B3"/>
    <w:multiLevelType w:val="hybridMultilevel"/>
    <w:lvl w:ilvl="0">
      <w:lvlJc w:val="left"/>
      <w:lvlText w:val="(%1)"/>
      <w:numFmt w:val="lowerLetter"/>
      <w:start w:val="1"/>
    </w:lvl>
  </w:abstractNum>
  <w:abstractNum w:abstractNumId="7">
    <w:nsid w:val="5FF87E05"/>
    <w:multiLevelType w:val="hybridMultilevel"/>
    <w:lvl w:ilvl="0">
      <w:lvlJc w:val="left"/>
      <w:lvlText w:val="(%1)"/>
      <w:numFmt w:val="lowerLetter"/>
      <w:start w:val="9"/>
    </w:lvl>
    <w:lvl w:ilvl="1">
      <w:lvlJc w:val="left"/>
      <w:lvlText w:val="(%2)"/>
      <w:numFmt w:val="lowerLetter"/>
      <w:start w:val="4"/>
    </w:lvl>
  </w:abstractNum>
  <w:abstractNum w:abstractNumId="8">
    <w:nsid w:val="2F305DEF"/>
    <w:multiLevelType w:val="hybridMultilevel"/>
    <w:lvl w:ilvl="0">
      <w:lvlJc w:val="left"/>
      <w:lvlText w:val="(%1)"/>
      <w:numFmt w:val="lowerLetter"/>
      <w:start w:val="61"/>
    </w:lvl>
    <w:lvl w:ilvl="1">
      <w:lvlJc w:val="left"/>
      <w:lvlText w:val="%2"/>
      <w:numFmt w:val="lowerLetter"/>
      <w:start w:val="1"/>
    </w:lvl>
  </w:abstractNum>
  <w:abstractNum w:abstractNumId="9">
    <w:nsid w:val="25A70BF7"/>
    <w:multiLevelType w:val="hybridMultilevel"/>
    <w:lvl w:ilvl="0">
      <w:lvlJc w:val="left"/>
      <w:lvlText w:val="(%1)"/>
      <w:numFmt w:val="lowerLetter"/>
      <w:start w:val="6"/>
    </w:lvl>
  </w:abstractNum>
  <w:abstractNum w:abstractNumId="10">
    <w:nsid w:val="1DBABF00"/>
    <w:multiLevelType w:val="hybridMultilevel"/>
    <w:lvl w:ilvl="0">
      <w:lvlJc w:val="left"/>
      <w:lvlText w:val="(%1)"/>
      <w:numFmt w:val="lowerLetter"/>
      <w:start w:val="8"/>
    </w:lvl>
  </w:abstractNum>
  <w:abstractNum w:abstractNumId="11">
    <w:nsid w:val="4AD084E9"/>
    <w:multiLevelType w:val="hybridMultilevel"/>
    <w:lvl w:ilvl="0">
      <w:lvlJc w:val="left"/>
      <w:lvlText w:val="(%1)"/>
      <w:numFmt w:val="lowerLetter"/>
      <w:start w:val="10"/>
    </w:lvl>
  </w:abstractNum>
  <w:abstractNum w:abstractNumId="12">
    <w:nsid w:val="1F48EAA1"/>
    <w:multiLevelType w:val="hybridMultilevel"/>
    <w:lvl w:ilvl="0">
      <w:lvlJc w:val="left"/>
      <w:lvlText w:val="(%1)"/>
      <w:numFmt w:val="lowerLetter"/>
      <w:start w:val="14"/>
    </w:lvl>
  </w:abstractNum>
  <w:abstractNum w:abstractNumId="13">
    <w:nsid w:val="1381823A"/>
    <w:multiLevelType w:val="hybridMultilevel"/>
    <w:lvl w:ilvl="0">
      <w:lvlJc w:val="left"/>
      <w:lvlText w:val="%1"/>
      <w:numFmt w:val="lowerRoman"/>
      <w:start w:val="1"/>
    </w:lvl>
    <w:lvl w:ilvl="1">
      <w:lvlJc w:val="left"/>
      <w:lvlText w:val="(%2)"/>
      <w:numFmt w:val="lowerLetter"/>
      <w:start w:val="17"/>
    </w:lvl>
  </w:abstractNum>
  <w:abstractNum w:abstractNumId="14">
    <w:nsid w:val="5DB70AE5"/>
    <w:multiLevelType w:val="hybridMultilevel"/>
    <w:lvl w:ilvl="0">
      <w:lvlJc w:val="left"/>
      <w:lvlText w:val="(%1)"/>
      <w:numFmt w:val="lowerRoman"/>
      <w:start w:val="4"/>
    </w:lvl>
    <w:lvl w:ilvl="1">
      <w:lvlJc w:val="left"/>
      <w:lvlText w:val="%2"/>
      <w:numFmt w:val="lowerLetter"/>
      <w:start w:val="1"/>
    </w:lvl>
  </w:abstractNum>
  <w:abstractNum w:abstractNumId="15">
    <w:nsid w:val="100F8FCA"/>
    <w:multiLevelType w:val="hybridMultilevel"/>
    <w:lvl w:ilvl="0">
      <w:lvlJc w:val="left"/>
      <w:lvlText w:val="(%1)"/>
      <w:numFmt w:val="lowerLetter"/>
      <w:start w:val="20"/>
    </w:lvl>
  </w:abstractNum>
  <w:abstractNum w:abstractNumId="16">
    <w:nsid w:val="6590700B"/>
    <w:multiLevelType w:val="hybridMultilevel"/>
    <w:lvl w:ilvl="0">
      <w:lvlJc w:val="left"/>
      <w:lvlText w:val="%1"/>
      <w:numFmt w:val="lowerLetter"/>
      <w:start w:val="1"/>
    </w:lvl>
    <w:lvl w:ilvl="1">
      <w:lvlJc w:val="left"/>
      <w:lvlText w:val="(%2)"/>
      <w:numFmt w:val="lowerLetter"/>
      <w:start w:val="25"/>
    </w:lvl>
  </w:abstractNum>
  <w:abstractNum w:abstractNumId="17">
    <w:nsid w:val="15014ACB"/>
    <w:multiLevelType w:val="hybridMultilevel"/>
    <w:lvl w:ilvl="0">
      <w:lvlJc w:val="left"/>
      <w:lvlText w:val="(%1)"/>
      <w:numFmt w:val="lowerLetter"/>
      <w:start w:val="35"/>
    </w:lvl>
    <w:lvl w:ilvl="1">
      <w:lvlJc w:val="left"/>
      <w:lvlText w:val="(%2)"/>
      <w:numFmt w:val="lowerLetter"/>
      <w:start w:val="27"/>
    </w:lvl>
  </w:abstractNum>
  <w:abstractNum w:abstractNumId="18">
    <w:nsid w:val="5F5E7FD0"/>
    <w:multiLevelType w:val="hybridMultilevel"/>
    <w:lvl w:ilvl="0">
      <w:lvlJc w:val="left"/>
      <w:lvlText w:val="(%1)"/>
      <w:numFmt w:val="lowerLetter"/>
      <w:start w:val="61"/>
    </w:lvl>
    <w:lvl w:ilvl="1">
      <w:lvlJc w:val="left"/>
      <w:lvlText w:val="%2"/>
      <w:numFmt w:val="lowerLetter"/>
      <w:start w:val="1"/>
    </w:lvl>
  </w:abstractNum>
  <w:abstractNum w:abstractNumId="19">
    <w:nsid w:val="98A3148"/>
    <w:multiLevelType w:val="hybridMultilevel"/>
    <w:lvl w:ilvl="0">
      <w:lvlJc w:val="left"/>
      <w:lvlText w:val="(%1)"/>
      <w:numFmt w:val="lowerLetter"/>
      <w:start w:val="28"/>
    </w:lvl>
  </w:abstractNum>
  <w:abstractNum w:abstractNumId="20">
    <w:nsid w:val="799D0247"/>
    <w:multiLevelType w:val="hybridMultilevel"/>
    <w:lvl w:ilvl="0">
      <w:lvlJc w:val="left"/>
      <w:lvlText w:val="(%1)"/>
      <w:numFmt w:val="lowerLetter"/>
      <w:start w:val="33"/>
    </w:lvl>
  </w:abstractNum>
  <w:abstractNum w:abstractNumId="21">
    <w:nsid w:val="6B94764"/>
    <w:multiLevelType w:val="hybridMultilevel"/>
    <w:lvl w:ilvl="0">
      <w:lvlJc w:val="left"/>
      <w:lvlText w:val="(%1)"/>
      <w:numFmt w:val="lowerRoman"/>
      <w:start w:val="6"/>
    </w:lvl>
    <w:lvl w:ilvl="1">
      <w:lvlJc w:val="left"/>
      <w:lvlText w:val="(%2)"/>
      <w:numFmt w:val="lowerLetter"/>
      <w:start w:val="35"/>
    </w:lvl>
  </w:abstractNum>
  <w:abstractNum w:abstractNumId="22">
    <w:nsid w:val="42C296BD"/>
    <w:multiLevelType w:val="hybridMultilevel"/>
    <w:lvl w:ilvl="0">
      <w:lvlJc w:val="left"/>
      <w:lvlText w:val="(%1)"/>
      <w:numFmt w:val="lowerRoman"/>
      <w:start w:val="10"/>
    </w:lvl>
    <w:lvl w:ilvl="1">
      <w:lvlJc w:val="left"/>
      <w:lvlText w:val="(%2)"/>
      <w:numFmt w:val="lowerLetter"/>
      <w:start w:val="37"/>
    </w:lvl>
  </w:abstractNum>
  <w:abstractNum w:abstractNumId="23">
    <w:nsid w:val="168E121F"/>
    <w:multiLevelType w:val="hybridMultilevel"/>
    <w:lvl w:ilvl="0">
      <w:lvlJc w:val="left"/>
      <w:lvlText w:val="(%1)"/>
      <w:numFmt w:val="lowerLetter"/>
      <w:start w:val="38"/>
    </w:lvl>
  </w:abstractNum>
  <w:abstractNum w:abstractNumId="24">
    <w:nsid w:val="1EBA5D23"/>
    <w:multiLevelType w:val="hybridMultilevel"/>
    <w:lvl w:ilvl="0">
      <w:lvlJc w:val="left"/>
      <w:lvlText w:val="(%1)"/>
      <w:numFmt w:val="lowerLetter"/>
      <w:start w:val="1"/>
    </w:lvl>
  </w:abstractNum>
  <w:abstractNum w:abstractNumId="25">
    <w:nsid w:val="661E3F1E"/>
    <w:multiLevelType w:val="hybridMultilevel"/>
    <w:lvl w:ilvl="0">
      <w:lvlJc w:val="left"/>
      <w:lvlText w:val="(%1)"/>
      <w:numFmt w:val="lowerLetter"/>
      <w:start w:val="5"/>
    </w:lvl>
  </w:abstractNum>
  <w:abstractNum w:abstractNumId="26">
    <w:nsid w:val="5DC79EA8"/>
    <w:multiLevelType w:val="hybridMultilevel"/>
    <w:lvl w:ilvl="0">
      <w:lvlJc w:val="left"/>
      <w:lvlText w:val="(%1)"/>
      <w:numFmt w:val="lowerLetter"/>
      <w:start w:val="8"/>
    </w:lvl>
  </w:abstractNum>
  <w:abstractNum w:abstractNumId="27">
    <w:nsid w:val="540A471C"/>
    <w:multiLevelType w:val="hybridMultilevel"/>
    <w:lvl w:ilvl="0">
      <w:lvlJc w:val="left"/>
      <w:lvlText w:val="(%1)"/>
      <w:numFmt w:val="lowerLetter"/>
      <w:start w:val="10"/>
    </w:lvl>
  </w:abstractNum>
  <w:abstractNum w:abstractNumId="28">
    <w:nsid w:val="7BD3EE7B"/>
    <w:multiLevelType w:val="hybridMultilevel"/>
    <w:lvl w:ilvl="0">
      <w:lvlJc w:val="left"/>
      <w:lvlText w:val="(%1)"/>
      <w:numFmt w:val="lowerLetter"/>
      <w:start w:val="1"/>
    </w:lvl>
  </w:abstractNum>
  <w:abstractNum w:abstractNumId="29">
    <w:nsid w:val="51D9C564"/>
    <w:multiLevelType w:val="hybridMultilevel"/>
    <w:lvl w:ilvl="0">
      <w:lvlJc w:val="left"/>
      <w:lvlText w:val="(%1)"/>
      <w:numFmt w:val="decimal"/>
      <w:start w:val="3"/>
    </w:lvl>
    <w:lvl w:ilvl="1">
      <w:lvlJc w:val="left"/>
      <w:lvlText w:val="(%2)"/>
      <w:numFmt w:val="lowerLetter"/>
      <w:start w:val="3"/>
    </w:lvl>
  </w:abstractNum>
  <w:abstractNum w:abstractNumId="30">
    <w:nsid w:val="613EFDC5"/>
    <w:multiLevelType w:val="hybridMultilevel"/>
    <w:lvl w:ilvl="0">
      <w:lvlJc w:val="left"/>
      <w:lvlText w:val="(%1)"/>
      <w:numFmt w:val="lowerLetter"/>
      <w:start w:val="4"/>
    </w:lvl>
  </w:abstractNum>
  <w:abstractNum w:abstractNumId="31">
    <w:nsid w:val="BF72B14"/>
    <w:multiLevelType w:val="hybridMultilevel"/>
    <w:lvl w:ilvl="0">
      <w:lvlJc w:val="left"/>
      <w:lvlText w:val="(%1)"/>
      <w:numFmt w:val="lowerLetter"/>
      <w:start w:val="1"/>
    </w:lvl>
  </w:abstractNum>
  <w:abstractNum w:abstractNumId="32">
    <w:nsid w:val="11447B73"/>
    <w:multiLevelType w:val="hybridMultilevel"/>
    <w:lvl w:ilvl="0">
      <w:lvlJc w:val="left"/>
      <w:lvlText w:val="(%1)"/>
      <w:numFmt w:val="lowerRoman"/>
      <w:start w:val="1"/>
    </w:lvl>
  </w:abstractNum>
  <w:abstractNum w:abstractNumId="33">
    <w:nsid w:val="42963E5A"/>
    <w:multiLevelType w:val="hybridMultilevel"/>
    <w:lvl w:ilvl="0">
      <w:lvlJc w:val="left"/>
      <w:lvlText w:val="(%1)"/>
      <w:numFmt w:val="lowerLetter"/>
      <w:start w:val="1"/>
    </w:lvl>
  </w:abstractNum>
  <w:abstractNum w:abstractNumId="34">
    <w:nsid w:val="A0382C5"/>
    <w:multiLevelType w:val="hybridMultilevel"/>
    <w:lvl w:ilvl="0">
      <w:lvlJc w:val="left"/>
      <w:lvlText w:val="(%1)"/>
      <w:numFmt w:val="lowerLetter"/>
      <w:start w:val="2"/>
    </w:lvl>
  </w:abstractNum>
  <w:abstractNum w:abstractNumId="35">
    <w:nsid w:val="8F2B15E"/>
    <w:multiLevelType w:val="hybridMultilevel"/>
    <w:lvl w:ilvl="0">
      <w:lvlJc w:val="left"/>
      <w:lvlText w:val="(%1)"/>
      <w:numFmt w:val="lowerLetter"/>
      <w:start w:val="1"/>
    </w:lvl>
  </w:abstractNum>
  <w:abstractNum w:abstractNumId="36">
    <w:nsid w:val="1A32234B"/>
    <w:multiLevelType w:val="hybridMultilevel"/>
    <w:lvl w:ilvl="0">
      <w:lvlJc w:val="left"/>
      <w:lvlText w:val="(%1)"/>
      <w:numFmt w:val="lowerLetter"/>
      <w:start w:val="2"/>
    </w:lvl>
    <w:lvl w:ilvl="1">
      <w:lvlJc w:val="left"/>
      <w:lvlText w:val="(%2)"/>
      <w:numFmt w:val="lowerRoman"/>
      <w:start w:val="1"/>
    </w:lvl>
  </w:abstractNum>
  <w:abstractNum w:abstractNumId="37">
    <w:nsid w:val="3B0FD379"/>
    <w:multiLevelType w:val="hybridMultilevel"/>
    <w:lvl w:ilvl="0">
      <w:lvlJc w:val="left"/>
      <w:lvlText w:val="(%1)"/>
      <w:numFmt w:val="lowerLetter"/>
      <w:start w:val="4"/>
    </w:lvl>
    <w:lvl w:ilvl="1">
      <w:lvlJc w:val="left"/>
      <w:lvlText w:val="(%2)"/>
      <w:numFmt w:val="lowerRoman"/>
      <w:start w:val="1"/>
    </w:lvl>
  </w:abstractNum>
  <w:abstractNum w:abstractNumId="38">
    <w:nsid w:val="68EB2F63"/>
    <w:multiLevelType w:val="hybridMultilevel"/>
    <w:lvl w:ilvl="0">
      <w:lvlJc w:val="left"/>
      <w:lvlText w:val="(%1)"/>
      <w:numFmt w:val="lowerLetter"/>
      <w:start w:val="1"/>
    </w:lvl>
  </w:abstractNum>
  <w:abstractNum w:abstractNumId="39">
    <w:nsid w:val="4962813B"/>
    <w:multiLevelType w:val="hybridMultilevel"/>
    <w:lvl w:ilvl="0">
      <w:lvlJc w:val="left"/>
      <w:lvlText w:val="(%1)"/>
      <w:numFmt w:val="lowerLetter"/>
      <w:start w:val="2"/>
    </w:lvl>
    <w:lvl w:ilvl="1">
      <w:lvlJc w:val="left"/>
      <w:lvlText w:val="(%2)"/>
      <w:numFmt w:val="lowerLetter"/>
      <w:start w:val="9"/>
    </w:lvl>
  </w:abstractNum>
  <w:abstractNum w:abstractNumId="40">
    <w:nsid w:val="60B6DF70"/>
    <w:multiLevelType w:val="hybridMultilevel"/>
    <w:lvl w:ilvl="0">
      <w:lvlJc w:val="left"/>
      <w:lvlText w:val="(%1)"/>
      <w:numFmt w:val="lowerLetter"/>
      <w:start w:val="3"/>
    </w:lvl>
    <w:lvl w:ilvl="1">
      <w:lvlJc w:val="left"/>
      <w:lvlText w:val="(%2)"/>
      <w:numFmt w:val="lowerRoman"/>
      <w:start w:val="1"/>
    </w:lvl>
  </w:abstractNum>
  <w:abstractNum w:abstractNumId="41">
    <w:nsid w:val="6A5EE64"/>
    <w:multiLevelType w:val="hybridMultilevel"/>
    <w:lvl w:ilvl="0">
      <w:lvlJc w:val="left"/>
      <w:lvlText w:val="(%1)"/>
      <w:numFmt w:val="lowerLetter"/>
      <w:start w:val="4"/>
    </w:lvl>
    <w:lvl w:ilvl="1">
      <w:lvlJc w:val="left"/>
      <w:lvlText w:val="(%2)"/>
      <w:numFmt w:val="lowerRoman"/>
      <w:start w:val="1"/>
    </w:lvl>
  </w:abstractNum>
  <w:abstractNum w:abstractNumId="42">
    <w:nsid w:val="14330624"/>
    <w:multiLevelType w:val="hybridMultilevel"/>
    <w:lvl w:ilvl="0">
      <w:lvlJc w:val="left"/>
      <w:lvlText w:val="1"/>
      <w:numFmt w:val="bullet"/>
      <w:start w:val="1"/>
    </w:lvl>
  </w:abstractNum>
  <w:abstractNum w:abstractNumId="43">
    <w:nsid w:val="7FFFCA11"/>
    <w:multiLevelType w:val="hybridMultilevel"/>
    <w:lvl w:ilvl="0">
      <w:lvlJc w:val="left"/>
      <w:lvlText w:val="%1."/>
      <w:numFmt w:val="decimal"/>
      <w:start w:val="1"/>
    </w:lvl>
  </w:abstractNum>
  <w:abstractNum w:abstractNumId="44">
    <w:nsid w:val="1A27709E"/>
    <w:multiLevelType w:val="hybridMultilevel"/>
    <w:lvl w:ilvl="0">
      <w:lvlJc w:val="left"/>
      <w:lvlText w:val="(%1)"/>
      <w:numFmt w:val="decimal"/>
      <w:start w:val="45"/>
    </w:lvl>
  </w:abstractNum>
  <w:abstractNum w:abstractNumId="45">
    <w:nsid w:val="71EA1109"/>
    <w:multiLevelType w:val="hybridMultilevel"/>
    <w:lvl w:ilvl="0">
      <w:lvlJc w:val="left"/>
      <w:lvlText w:val="(%1)"/>
      <w:numFmt w:val="lowerLetter"/>
      <w:start w:val="3"/>
    </w:lvl>
  </w:abstractNum>
  <w:abstractNum w:abstractNumId="46">
    <w:nsid w:val="100F59DC"/>
    <w:multiLevelType w:val="hybridMultilevel"/>
    <w:lvl w:ilvl="0">
      <w:lvlJc w:val="left"/>
      <w:lvlText w:val="(%1)"/>
      <w:numFmt w:val="lowerRoman"/>
      <w:start w:val="1"/>
    </w:lvl>
  </w:abstractNum>
  <w:abstractNum w:abstractNumId="47">
    <w:nsid w:val="7FB7E0AA"/>
    <w:multiLevelType w:val="hybridMultilevel"/>
    <w:lvl w:ilvl="0">
      <w:lvlJc w:val="left"/>
      <w:lvlText w:val="%1."/>
      <w:numFmt w:val="decimal"/>
      <w:start w:val="2"/>
    </w:lvl>
    <w:lvl w:ilvl="1">
      <w:lvlJc w:val="left"/>
      <w:lvlText w:val="(%2)"/>
      <w:numFmt w:val="lowerLetter"/>
      <w:start w:val="1"/>
    </w:lvl>
  </w:abstractNum>
  <w:abstractNum w:abstractNumId="48">
    <w:nsid w:val="6EB5BD4"/>
    <w:multiLevelType w:val="hybridMultilevel"/>
    <w:lvl w:ilvl="0">
      <w:lvlJc w:val="left"/>
      <w:lvlText w:val="(%1)"/>
      <w:numFmt w:val="lowerLetter"/>
      <w:start w:val="2"/>
    </w:lvl>
  </w:abstractNum>
  <w:abstractNum w:abstractNumId="49">
    <w:nsid w:val="6F6DD9AC"/>
    <w:multiLevelType w:val="hybridMultilevel"/>
    <w:lvl w:ilvl="0">
      <w:lvlJc w:val="left"/>
      <w:lvlText w:val="(%1)"/>
      <w:numFmt w:val="lowerLetter"/>
      <w:start w:val="3"/>
    </w:lvl>
  </w:abstractNum>
  <w:abstractNum w:abstractNumId="50">
    <w:nsid w:val="94211F2"/>
    <w:multiLevelType w:val="hybridMultilevel"/>
    <w:lvl w:ilvl="0">
      <w:lvlJc w:val="left"/>
      <w:lvlText w:val="%1."/>
      <w:numFmt w:val="lowerLetter"/>
      <w:start w:val="1"/>
    </w:lvl>
  </w:abstractNum>
  <w:abstractNum w:abstractNumId="51">
    <w:nsid w:val="885E1B"/>
    <w:multiLevelType w:val="hybridMultilevel"/>
    <w:lvl w:ilvl="0">
      <w:lvlJc w:val="left"/>
      <w:lvlText w:val="%1."/>
      <w:numFmt w:val="lowerLetter"/>
      <w:start w:val="4"/>
    </w:lvl>
  </w:abstractNum>
  <w:abstractNum w:abstractNumId="52">
    <w:nsid w:val="76272110"/>
    <w:multiLevelType w:val="hybridMultilevel"/>
    <w:lvl w:ilvl="0">
      <w:lvlJc w:val="left"/>
      <w:lvlText w:val="%1"/>
      <w:numFmt w:val="lowerLetter"/>
      <w:start w:val="1"/>
    </w:lvl>
    <w:lvl w:ilvl="1">
      <w:lvlJc w:val="left"/>
      <w:lvlText w:val="(%2)"/>
      <w:numFmt w:val="decimal"/>
      <w:start w:val="5"/>
    </w:lvl>
  </w:abstractNum>
  <w:abstractNum w:abstractNumId="53">
    <w:nsid w:val="4C04A8AF"/>
    <w:multiLevelType w:val="hybridMultilevel"/>
    <w:lvl w:ilvl="0">
      <w:lvlJc w:val="left"/>
      <w:lvlText w:val="(%1)"/>
      <w:numFmt w:val="lowerLetter"/>
      <w:start w:val="4"/>
    </w:lvl>
    <w:lvl w:ilvl="1">
      <w:lvlJc w:val="left"/>
      <w:lvlText w:val="%2"/>
      <w:numFmt w:val="decimal"/>
      <w:start w:val="1"/>
    </w:lvl>
  </w:abstractNum>
  <w:abstractNum w:abstractNumId="54">
    <w:nsid w:val="1716703B"/>
    <w:multiLevelType w:val="hybridMultilevel"/>
    <w:lvl w:ilvl="0">
      <w:lvlJc w:val="left"/>
      <w:lvlText w:val="%1"/>
      <w:numFmt w:val="decimal"/>
      <w:start w:val="1"/>
    </w:lvl>
    <w:lvl w:ilvl="1">
      <w:lvlJc w:val="left"/>
      <w:lvlText w:val="(%2)"/>
      <w:numFmt w:val="lowerLetter"/>
      <w:start w:val="5"/>
    </w:lvl>
  </w:abstractNum>
  <w:abstractNum w:abstractNumId="55">
    <w:nsid w:val="14E17E33"/>
    <w:multiLevelType w:val="hybridMultilevel"/>
    <w:lvl w:ilvl="0">
      <w:lvlJc w:val="left"/>
      <w:lvlText w:val="%1."/>
      <w:numFmt w:val="decimal"/>
      <w:start w:val="3"/>
    </w:lvl>
    <w:lvl w:ilvl="1">
      <w:lvlJc w:val="left"/>
      <w:lvlText w:val="%2"/>
      <w:numFmt w:val="lowerLetter"/>
      <w:start w:val="1"/>
    </w:lvl>
  </w:abstractNum>
  <w:abstractNum w:abstractNumId="56">
    <w:nsid w:val="3222E7CD"/>
    <w:multiLevelType w:val="hybridMultilevel"/>
    <w:lvl w:ilvl="0">
      <w:lvlJc w:val="left"/>
      <w:lvlText w:val="%1"/>
      <w:numFmt w:val="decimal"/>
      <w:start w:val="1"/>
    </w:lvl>
    <w:lvl w:ilvl="1">
      <w:lvlJc w:val="left"/>
      <w:lvlText w:val="(%2)"/>
      <w:numFmt w:val="lowerLetter"/>
      <w:start w:val="1"/>
    </w:lvl>
  </w:abstractNum>
  <w:abstractNum w:abstractNumId="57">
    <w:nsid w:val="74DE0EE3"/>
    <w:multiLevelType w:val="hybridMultilevel"/>
    <w:lvl w:ilvl="0">
      <w:lvlJc w:val="left"/>
      <w:lvlText w:val="(%1)"/>
      <w:numFmt w:val="decimal"/>
      <w:start w:val="1"/>
    </w:lvl>
    <w:lvl w:ilvl="1">
      <w:lvlJc w:val="left"/>
      <w:lvlText w:val="(%2)"/>
      <w:numFmt w:val="lowerLetter"/>
      <w:start w:val="2"/>
    </w:lvl>
  </w:abstractNum>
  <w:abstractNum w:abstractNumId="58">
    <w:nsid w:val="68EBC550"/>
    <w:multiLevelType w:val="hybridMultilevel"/>
    <w:lvl w:ilvl="0">
      <w:lvlJc w:val="left"/>
      <w:lvlText w:val="(%1)"/>
      <w:numFmt w:val="lowerLetter"/>
      <w:start w:val="3"/>
    </w:lvl>
  </w:abstractNum>
  <w:abstractNum w:abstractNumId="59">
    <w:nsid w:val="2DF6D648"/>
    <w:multiLevelType w:val="hybridMultilevel"/>
    <w:lvl w:ilvl="0">
      <w:lvlJc w:val="left"/>
      <w:lvlText w:val="(%1)"/>
      <w:numFmt w:val="lowerLetter"/>
      <w:start w:val="5"/>
    </w:lvl>
  </w:abstractNum>
  <w:abstractNum w:abstractNumId="60">
    <w:nsid w:val="46B7D447"/>
    <w:multiLevelType w:val="hybridMultilevel"/>
    <w:lvl w:ilvl="0">
      <w:lvlJc w:val="left"/>
      <w:lvlText w:val="%1"/>
      <w:numFmt w:val="lowerLetter"/>
      <w:start w:val="1"/>
    </w:lvl>
    <w:lvl w:ilvl="1">
      <w:lvlJc w:val="left"/>
      <w:lvlText w:val="(%2)"/>
      <w:numFmt w:val="lowerLetter"/>
      <w:start w:val="10"/>
    </w:lvl>
  </w:abstractNum>
  <w:abstractNum w:abstractNumId="61">
    <w:nsid w:val="4A2AC315"/>
    <w:multiLevelType w:val="hybridMultilevel"/>
    <w:lvl w:ilvl="0">
      <w:lvlJc w:val="left"/>
      <w:lvlText w:val="(%1)"/>
      <w:numFmt w:val="lowerLetter"/>
      <w:start w:val="61"/>
    </w:lvl>
    <w:lvl w:ilvl="1">
      <w:lvlJc w:val="left"/>
      <w:lvlText w:val="(%2)"/>
      <w:numFmt w:val="lowerLetter"/>
      <w:start w:val="11"/>
    </w:lvl>
  </w:abstractNum>
  <w:abstractNum w:abstractNumId="62">
    <w:nsid w:val="39EE015C"/>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63">
    <w:nsid w:val="57FC4FBB"/>
    <w:multiLevelType w:val="hybridMultilevel"/>
    <w:lvl w:ilvl="0">
      <w:lvlJc w:val="left"/>
      <w:lvlText w:val="(%1)"/>
      <w:numFmt w:val="lowerLetter"/>
      <w:start w:val="22"/>
    </w:lvl>
    <w:lvl w:ilvl="1">
      <w:lvlJc w:val="left"/>
      <w:lvlText w:val="%2."/>
      <w:numFmt w:val="decimal"/>
      <w:start w:val="5"/>
    </w:lvl>
    <w:lvl w:ilvl="2">
      <w:lvlJc w:val="left"/>
      <w:lvlText w:val="(%3)"/>
      <w:numFmt w:val="lowerLetter"/>
      <w:start w:val="1"/>
    </w:lvl>
  </w:abstractNum>
  <w:abstractNum w:abstractNumId="64">
    <w:nsid w:val="CC1016F"/>
    <w:multiLevelType w:val="hybridMultilevel"/>
    <w:lvl w:ilvl="0">
      <w:lvlJc w:val="left"/>
      <w:lvlText w:val="(%1)"/>
      <w:numFmt w:val="lowerLetter"/>
      <w:start w:val="2"/>
    </w:lvl>
  </w:abstractNum>
  <w:abstractNum w:abstractNumId="65">
    <w:nsid w:val="43F18422"/>
    <w:multiLevelType w:val="hybridMultilevel"/>
    <w:lvl w:ilvl="0">
      <w:lvlJc w:val="left"/>
      <w:lvlText w:val="(%1)"/>
      <w:numFmt w:val="lowerLetter"/>
      <w:start w:val="3"/>
    </w:lvl>
  </w:abstractNum>
  <w:abstractNum w:abstractNumId="66">
    <w:nsid w:val="60EF0119"/>
    <w:multiLevelType w:val="hybridMultilevel"/>
    <w:lvl w:ilvl="0">
      <w:lvlJc w:val="left"/>
      <w:lvlText w:val="(%1)"/>
      <w:numFmt w:val="lowerLetter"/>
      <w:start w:val="4"/>
    </w:lvl>
  </w:abstractNum>
  <w:abstractNum w:abstractNumId="67">
    <w:nsid w:val="26F324BA"/>
    <w:multiLevelType w:val="hybridMultilevel"/>
    <w:lvl w:ilvl="0">
      <w:lvlJc w:val="left"/>
      <w:lvlText w:val="%1."/>
      <w:numFmt w:val="decimal"/>
      <w:start w:val="6"/>
    </w:lvl>
    <w:lvl w:ilvl="1">
      <w:lvlJc w:val="left"/>
      <w:lvlText w:val="(%2)"/>
      <w:numFmt w:val="lowerLetter"/>
      <w:start w:val="1"/>
    </w:lvl>
  </w:abstractNum>
  <w:abstractNum w:abstractNumId="68">
    <w:nsid w:val="7F01579B"/>
    <w:multiLevelType w:val="hybridMultilevel"/>
    <w:lvl w:ilvl="0">
      <w:lvlJc w:val="left"/>
      <w:lvlText w:val="(%1)"/>
      <w:numFmt w:val="lowerLetter"/>
      <w:start w:val="5"/>
    </w:lvl>
  </w:abstractNum>
  <w:abstractNum w:abstractNumId="69">
    <w:nsid w:val="49DA307D"/>
    <w:multiLevelType w:val="hybridMultilevel"/>
    <w:lvl w:ilvl="0">
      <w:lvlJc w:val="left"/>
      <w:lvlText w:val="(%1)"/>
      <w:numFmt w:val="lowerLetter"/>
      <w:start w:val="9"/>
    </w:lvl>
  </w:abstractNum>
  <w:abstractNum w:abstractNumId="70">
    <w:nsid w:val="7055A5F5"/>
    <w:multiLevelType w:val="hybridMultilevel"/>
    <w:lvl w:ilvl="0">
      <w:lvlJc w:val="left"/>
      <w:lvlText w:val="•"/>
      <w:numFmt w:val="bullet"/>
      <w:start w:val="1"/>
    </w:lvl>
  </w:abstractNum>
  <w:abstractNum w:abstractNumId="71">
    <w:nsid w:val="5FB8370B"/>
    <w:multiLevelType w:val="hybridMultilevel"/>
    <w:lvl w:ilvl="0">
      <w:lvlJc w:val="left"/>
      <w:lvlText w:val="%1"/>
      <w:numFmt w:val="decimal"/>
      <w:start w:val="1"/>
    </w:lvl>
    <w:lvl w:ilvl="1">
      <w:lvlJc w:val="left"/>
      <w:lvlText w:val="(%2)"/>
      <w:numFmt w:val="lowerLetter"/>
      <w:start w:val="4"/>
    </w:lvl>
  </w:abstractNum>
  <w:abstractNum w:abstractNumId="72">
    <w:nsid w:val="50801EE1"/>
    <w:multiLevelType w:val="hybridMultilevel"/>
    <w:lvl w:ilvl="0">
      <w:lvlJc w:val="left"/>
      <w:lvlText w:val="%1."/>
      <w:numFmt w:val="decimal"/>
      <w:start w:val="2"/>
    </w:lvl>
    <w:lvl w:ilvl="1">
      <w:lvlJc w:val="left"/>
      <w:lvlText w:val="%2"/>
      <w:numFmt w:val="lowerLetter"/>
      <w:start w:val="1"/>
    </w:lvl>
  </w:abstractNum>
  <w:abstractNum w:abstractNumId="73">
    <w:nsid w:val="488AC1A"/>
    <w:multiLevelType w:val="hybridMultilevel"/>
    <w:lvl w:ilvl="0">
      <w:lvlJc w:val="left"/>
      <w:lvlText w:val="%1."/>
      <w:numFmt w:val="decimal"/>
      <w:start w:val="3"/>
    </w:lvl>
    <w:lvl w:ilvl="1">
      <w:lvlJc w:val="left"/>
      <w:lvlText w:val="(%2)"/>
      <w:numFmt w:val="lowerLetter"/>
      <w:start w:val="1"/>
    </w:lvl>
  </w:abstractNum>
  <w:abstractNum w:abstractNumId="74">
    <w:nsid w:val="5FB8011C"/>
    <w:multiLevelType w:val="hybridMultilevel"/>
    <w:lvl w:ilvl="0">
      <w:lvlJc w:val="left"/>
      <w:lvlText w:val="%1"/>
      <w:numFmt w:val="decimal"/>
      <w:start w:val="1"/>
    </w:lvl>
    <w:lvl w:ilvl="1">
      <w:lvlJc w:val="left"/>
      <w:lvlText w:val="(%2)"/>
      <w:numFmt w:val="lowerLetter"/>
      <w:start w:val="2"/>
    </w:lvl>
  </w:abstractNum>
  <w:abstractNum w:abstractNumId="75">
    <w:nsid w:val="6AA78F7F"/>
    <w:multiLevelType w:val="hybridMultilevel"/>
    <w:lvl w:ilvl="0">
      <w:lvlJc w:val="left"/>
      <w:lvlText w:val="%1."/>
      <w:numFmt w:val="decimal"/>
      <w:start w:val="4"/>
    </w:lvl>
    <w:lvl w:ilvl="1">
      <w:lvlJc w:val="left"/>
      <w:lvlText w:val="(%2)"/>
      <w:numFmt w:val="lowerLetter"/>
      <w:start w:val="1"/>
    </w:lvl>
  </w:abstractNum>
  <w:abstractNum w:abstractNumId="76">
    <w:nsid w:val="7672BD23"/>
    <w:multiLevelType w:val="hybridMultilevel"/>
    <w:lvl w:ilvl="0">
      <w:lvlJc w:val="left"/>
      <w:lvlText w:val="(%1)"/>
      <w:numFmt w:val="lowerLetter"/>
      <w:start w:val="2"/>
    </w:lvl>
  </w:abstractNum>
  <w:abstractNum w:abstractNumId="77">
    <w:nsid w:val="6FC75AF8"/>
    <w:multiLevelType w:val="hybridMultilevel"/>
    <w:lvl w:ilvl="0">
      <w:lvlJc w:val="left"/>
      <w:lvlText w:val="(%1)"/>
      <w:numFmt w:val="lowerLetter"/>
      <w:start w:val="4"/>
    </w:lvl>
  </w:abstractNum>
  <w:abstractNum w:abstractNumId="78">
    <w:nsid w:val="6A5F7029"/>
    <w:multiLevelType w:val="hybridMultilevel"/>
    <w:lvl w:ilvl="0">
      <w:lvlJc w:val="left"/>
      <w:lvlText w:val="(%1)"/>
      <w:numFmt w:val="lowerLetter"/>
      <w:start w:val="5"/>
    </w:lvl>
  </w:abstractNum>
  <w:abstractNum w:abstractNumId="79">
    <w:nsid w:val="7D5E18F8"/>
    <w:multiLevelType w:val="hybridMultilevel"/>
    <w:lvl w:ilvl="0">
      <w:lvlJc w:val="left"/>
      <w:lvlText w:val="(%1)"/>
      <w:numFmt w:val="lowerLetter"/>
      <w:start w:val="6"/>
    </w:lvl>
  </w:abstractNum>
  <w:abstractNum w:abstractNumId="80">
    <w:nsid w:val="5F3534A4"/>
    <w:multiLevelType w:val="hybridMultilevel"/>
    <w:lvl w:ilvl="0">
      <w:lvlJc w:val="left"/>
      <w:lvlText w:val="(%1)"/>
      <w:numFmt w:val="lowerLetter"/>
      <w:start w:val="1"/>
    </w:lvl>
  </w:abstractNum>
  <w:abstractNum w:abstractNumId="81">
    <w:nsid w:val="73A1821B"/>
    <w:multiLevelType w:val="hybridMultilevel"/>
    <w:lvl w:ilvl="0">
      <w:lvlJc w:val="left"/>
      <w:lvlText w:val="%1)"/>
      <w:numFmt w:val="lowerLetter"/>
      <w:start w:val="1"/>
    </w:lvl>
  </w:abstractNum>
  <w:abstractNum w:abstractNumId="82">
    <w:nsid w:val="7DE67713"/>
    <w:multiLevelType w:val="hybridMultilevel"/>
    <w:lvl w:ilvl="0">
      <w:lvlJc w:val="left"/>
      <w:lvlText w:val="(%1)"/>
      <w:numFmt w:val="decimal"/>
      <w:start w:val="1"/>
    </w:lvl>
    <w:lvl w:ilvl="1">
      <w:lvlJc w:val="left"/>
      <w:lvlText w:val="%2)"/>
      <w:numFmt w:val="lowerLetter"/>
      <w:start w:val="2"/>
    </w:lvl>
  </w:abstractNum>
  <w:abstractNum w:abstractNumId="83">
    <w:nsid w:val="555C55B5"/>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84">
    <w:nsid w:val="3FA62ACA"/>
    <w:multiLevelType w:val="hybridMultilevel"/>
    <w:lvl w:ilvl="0">
      <w:lvlJc w:val="left"/>
      <w:lvlText w:val="%1."/>
      <w:numFmt w:val="lowerRoman"/>
      <w:start w:val="2"/>
    </w:lvl>
  </w:abstractNum>
  <w:abstractNum w:abstractNumId="85">
    <w:nsid w:val="14FCE74E"/>
    <w:multiLevelType w:val="hybridMultilevel"/>
    <w:lvl w:ilvl="0">
      <w:lvlJc w:val="left"/>
      <w:lvlText w:val="%1."/>
      <w:numFmt w:val="lowerRoman"/>
      <w:start w:val="6"/>
    </w:lvl>
  </w:abstractNum>
  <w:abstractNum w:abstractNumId="86">
    <w:nsid w:val="6A3DD3E8"/>
    <w:multiLevelType w:val="hybridMultilevel"/>
    <w:lvl w:ilvl="0">
      <w:lvlJc w:val="left"/>
      <w:lvlText w:val="%1"/>
      <w:numFmt w:val="lowerLetter"/>
      <w:start w:val="1"/>
    </w:lvl>
    <w:lvl w:ilvl="1">
      <w:lvlJc w:val="left"/>
      <w:lvlText w:val="%2."/>
      <w:numFmt w:val="lowerRoman"/>
      <w:start w:val="7"/>
    </w:lvl>
  </w:abstractNum>
  <w:abstractNum w:abstractNumId="87">
    <w:nsid w:val="71C91298"/>
    <w:multiLevelType w:val="hybridMultilevel"/>
    <w:lvl w:ilvl="0">
      <w:lvlJc w:val="left"/>
      <w:lvlText w:val="%1)"/>
      <w:numFmt w:val="lowerLetter"/>
      <w:start w:val="5"/>
    </w:lvl>
    <w:lvl w:ilvl="1">
      <w:lvlJc w:val="left"/>
      <w:lvlText w:val="%2"/>
      <w:numFmt w:val="lowerRoman"/>
      <w:start w:val="1"/>
    </w:lvl>
  </w:abstractNum>
  <w:abstractNum w:abstractNumId="88">
    <w:nsid w:val="9DAF632"/>
    <w:multiLevelType w:val="hybridMultilevel"/>
    <w:lvl w:ilvl="0">
      <w:lvlJc w:val="left"/>
      <w:lvlText w:val="%1)"/>
      <w:numFmt w:val="lowerLetter"/>
      <w:start w:val="1"/>
    </w:lvl>
  </w:abstractNum>
  <w:abstractNum w:abstractNumId="89">
    <w:nsid w:val="53299938"/>
    <w:multiLevelType w:val="hybridMultilevel"/>
    <w:lvl w:ilvl="0">
      <w:lvlJc w:val="left"/>
      <w:lvlText w:val="%1)"/>
      <w:numFmt w:val="lowerLetter"/>
      <w:start w:val="2"/>
    </w:lvl>
  </w:abstractNum>
  <w:abstractNum w:abstractNumId="90">
    <w:nsid w:val="1FBFE8E0"/>
    <w:multiLevelType w:val="hybridMultilevel"/>
    <w:lvl w:ilvl="0">
      <w:lvlJc w:val="left"/>
      <w:lvlText w:val="%1)"/>
      <w:numFmt w:val="lowerLetter"/>
      <w:start w:val="4"/>
    </w:lvl>
  </w:abstractNum>
  <w:abstractNum w:abstractNumId="91">
    <w:nsid w:val="5092CA79"/>
    <w:multiLevelType w:val="hybridMultilevel"/>
    <w:lvl w:ilvl="0">
      <w:lvlJc w:val="left"/>
      <w:lvlText w:val="%1)"/>
      <w:numFmt w:val="lowerLetter"/>
      <w:start w:val="5"/>
    </w:lvl>
    <w:lvl w:ilvl="1">
      <w:lvlJc w:val="left"/>
      <w:lvlText w:val="%2."/>
      <w:numFmt w:val="lowerRoman"/>
      <w:start w:val="1"/>
    </w:lvl>
  </w:abstractNum>
  <w:abstractNum w:abstractNumId="92">
    <w:nsid w:val="1D545C4D"/>
    <w:multiLevelType w:val="hybridMultilevel"/>
    <w:lvl w:ilvl="0">
      <w:lvlJc w:val="left"/>
      <w:lvlText w:val="%1)"/>
      <w:numFmt w:val="lowerLetter"/>
      <w:start w:val="1"/>
    </w:lvl>
  </w:abstractNum>
  <w:abstractNum w:abstractNumId="93">
    <w:nsid w:val="59ADEA3D"/>
    <w:multiLevelType w:val="hybridMultilevel"/>
    <w:lvl w:ilvl="0">
      <w:lvlJc w:val="left"/>
      <w:lvlText w:val="%1)"/>
      <w:numFmt w:val="lowerLetter"/>
      <w:start w:val="2"/>
    </w:lvl>
  </w:abstractNum>
  <w:abstractNum w:abstractNumId="94">
    <w:nsid w:val="288F1A34"/>
    <w:multiLevelType w:val="hybridMultilevel"/>
    <w:lvl w:ilvl="0">
      <w:lvlJc w:val="left"/>
      <w:lvlText w:val="%1)"/>
      <w:numFmt w:val="lowerLetter"/>
      <w:start w:val="1"/>
    </w:lvl>
  </w:abstractNum>
  <w:abstractNum w:abstractNumId="95">
    <w:nsid w:val="2A155DBC"/>
    <w:multiLevelType w:val="hybridMultilevel"/>
    <w:lvl w:ilvl="0">
      <w:lvlJc w:val="left"/>
      <w:lvlText w:val="%1)"/>
      <w:numFmt w:val="lowerLetter"/>
      <w:start w:val="5"/>
    </w:lvl>
  </w:abstractNum>
  <w:abstractNum w:abstractNumId="96">
    <w:nsid w:val="1D9F6E5F"/>
    <w:multiLevelType w:val="hybridMultilevel"/>
    <w:lvl w:ilvl="0">
      <w:lvlJc w:val="left"/>
      <w:lvlText w:val="%1)"/>
      <w:numFmt w:val="lowerLetter"/>
      <w:start w:val="10"/>
    </w:lvl>
  </w:abstractNum>
  <w:abstractNum w:abstractNumId="97">
    <w:nsid w:val="97E1B4E"/>
    <w:multiLevelType w:val="hybridMultilevel"/>
    <w:lvl w:ilvl="0">
      <w:lvlJc w:val="left"/>
      <w:lvlText w:val="(%1)"/>
      <w:numFmt w:val="decimal"/>
      <w:start w:val="1"/>
    </w:lvl>
  </w:abstractNum>
  <w:abstractNum w:abstractNumId="98">
    <w:nsid w:val="51088277"/>
    <w:multiLevelType w:val="hybridMultilevel"/>
    <w:lvl w:ilvl="0">
      <w:lvlJc w:val="left"/>
      <w:lvlText w:val="(%1)"/>
      <w:numFmt w:val="decimal"/>
      <w:start w:val="2"/>
    </w:lvl>
    <w:lvl w:ilvl="1">
      <w:lvlJc w:val="left"/>
      <w:lvlText w:val="["/>
      <w:numFmt w:val="bullet"/>
      <w:start w:val="1"/>
    </w:lvl>
  </w:abstractNum>
  <w:abstractNum w:abstractNumId="99">
    <w:nsid w:val="1CA0C5FA"/>
    <w:multiLevelType w:val="hybridMultilevel"/>
    <w:lvl w:ilvl="0">
      <w:lvlJc w:val="left"/>
      <w:lvlText w:val="(%1)"/>
      <w:numFmt w:val="decimal"/>
      <w:start w:val="4"/>
    </w:lvl>
  </w:abstractNum>
  <w:abstractNum w:abstractNumId="100">
    <w:nsid w:val="53584BCB"/>
    <w:multiLevelType w:val="hybridMultilevel"/>
    <w:lvl w:ilvl="0">
      <w:lvlJc w:val="left"/>
      <w:lvlText w:val="%1)"/>
      <w:numFmt w:val="lowerLetter"/>
      <w:start w:val="1"/>
    </w:lvl>
  </w:abstractNum>
  <w:abstractNum w:abstractNumId="101">
    <w:nsid w:val="415E286C"/>
    <w:multiLevelType w:val="hybridMultilevel"/>
    <w:lvl w:ilvl="0">
      <w:lvlJc w:val="left"/>
      <w:lvlText w:val="%1)"/>
      <w:numFmt w:val="lowerLetter"/>
      <w:start w:val="2"/>
    </w:lvl>
  </w:abstractNum>
  <w:abstractNum w:abstractNumId="102">
    <w:nsid w:val="7C58FD05"/>
    <w:multiLevelType w:val="hybridMultilevel"/>
    <w:lvl w:ilvl="0">
      <w:lvlJc w:val="left"/>
      <w:lvlText w:val="(%1)"/>
      <w:numFmt w:val="decimal"/>
      <w:start w:val="2"/>
    </w:lvl>
  </w:abstractNum>
  <w:abstractNum w:abstractNumId="103">
    <w:nsid w:val="23D86AAC"/>
    <w:multiLevelType w:val="hybridMultilevel"/>
    <w:lvl w:ilvl="0">
      <w:lvlJc w:val="left"/>
      <w:lvlText w:val="(%1)"/>
      <w:numFmt w:val="lowerLetter"/>
      <w:start w:val="26"/>
    </w:lvl>
  </w:abstractNum>
  <w:abstractNum w:abstractNumId="104">
    <w:nsid w:val="45E6D486"/>
    <w:multiLevelType w:val="hybridMultilevel"/>
    <w:lvl w:ilvl="0">
      <w:lvlJc w:val="left"/>
      <w:lvlText w:val="%1)"/>
      <w:numFmt w:val="lowerLetter"/>
      <w:start w:val="4"/>
    </w:lvl>
    <w:lvl w:ilvl="1">
      <w:lvlJc w:val="left"/>
      <w:lvlText w:val="%2."/>
      <w:numFmt w:val="lowerRoman"/>
      <w:start w:val="1"/>
    </w:lvl>
  </w:abstractNum>
  <w:abstractNum w:abstractNumId="105">
    <w:nsid w:val="5C10FE21"/>
    <w:multiLevelType w:val="hybridMultilevel"/>
    <w:lvl w:ilvl="0">
      <w:lvlJc w:val="left"/>
      <w:lvlText w:val="%1."/>
      <w:numFmt w:val="lowerRoman"/>
      <w:start w:val="2"/>
    </w:lvl>
  </w:abstractNum>
  <w:abstractNum w:abstractNumId="106">
    <w:nsid w:val="E7FFA2B"/>
    <w:multiLevelType w:val="hybridMultilevel"/>
    <w:lvl w:ilvl="0">
      <w:lvlJc w:val="left"/>
      <w:lvlText w:val="%1"/>
      <w:numFmt w:val="lowerLetter"/>
      <w:start w:val="1"/>
    </w:lvl>
    <w:lvl w:ilvl="1">
      <w:lvlJc w:val="left"/>
      <w:lvlText w:val="%2."/>
      <w:numFmt w:val="lowerRoman"/>
      <w:start w:val="6"/>
    </w:lvl>
  </w:abstractNum>
  <w:abstractNum w:abstractNumId="107">
    <w:nsid w:val="3C5991AA"/>
    <w:multiLevelType w:val="hybridMultilevel"/>
    <w:lvl w:ilvl="0">
      <w:lvlJc w:val="left"/>
      <w:lvlText w:val="%1)"/>
      <w:numFmt w:val="lowerLetter"/>
      <w:start w:val="5"/>
    </w:lvl>
    <w:lvl w:ilvl="1">
      <w:lvlJc w:val="left"/>
      <w:lvlText w:val="%2"/>
      <w:numFmt w:val="lowerRoman"/>
      <w:start w:val="1"/>
    </w:lvl>
  </w:abstractNum>
  <w:abstractNum w:abstractNumId="108">
    <w:nsid w:val="4BD8591A"/>
    <w:multiLevelType w:val="hybridMultilevel"/>
    <w:lvl w:ilvl="0">
      <w:lvlJc w:val="left"/>
      <w:lvlText w:val="(%1)"/>
      <w:numFmt w:val="lowerRoman"/>
      <w:start w:val="2"/>
    </w:lvl>
  </w:abstractNum>
  <w:abstractNum w:abstractNumId="109">
    <w:nsid w:val="78DF6A55"/>
    <w:multiLevelType w:val="hybridMultilevel"/>
    <w:lvl w:ilvl="0">
      <w:lvlJc w:val="left"/>
      <w:lvlText w:val="%1)"/>
      <w:numFmt w:val="lowerLetter"/>
      <w:start w:val="1"/>
    </w:lvl>
  </w:abstractNum>
  <w:abstractNum w:abstractNumId="110">
    <w:nsid w:val="39B7AAA2"/>
    <w:multiLevelType w:val="hybridMultilevel"/>
    <w:lvl w:ilvl="0">
      <w:lvlJc w:val="left"/>
      <w:lvlText w:val="%1)"/>
      <w:numFmt w:val="lowerLetter"/>
      <w:start w:val="3"/>
    </w:lvl>
  </w:abstractNum>
  <w:abstractNum w:abstractNumId="111">
    <w:nsid w:val="2B0D8DBE"/>
    <w:multiLevelType w:val="hybridMultilevel"/>
    <w:lvl w:ilvl="0">
      <w:lvlJc w:val="left"/>
      <w:lvlText w:val="%1)"/>
      <w:numFmt w:val="lowerLetter"/>
      <w:start w:val="5"/>
    </w:lvl>
    <w:lvl w:ilvl="1">
      <w:lvlJc w:val="left"/>
      <w:lvlText w:val="%2."/>
      <w:numFmt w:val="lowerRoman"/>
      <w:start w:val="1"/>
    </w:lvl>
  </w:abstractNum>
  <w:abstractNum w:abstractNumId="112">
    <w:nsid w:val="6C80EC70"/>
    <w:multiLevelType w:val="hybridMultilevel"/>
    <w:lvl w:ilvl="0">
      <w:lvlJc w:val="left"/>
      <w:lvlText w:val="%1)"/>
      <w:numFmt w:val="lowerLetter"/>
      <w:start w:val="1"/>
    </w:lvl>
  </w:abstractNum>
  <w:abstractNum w:abstractNumId="113">
    <w:nsid w:val="379E21B5"/>
    <w:multiLevelType w:val="hybridMultilevel"/>
    <w:lvl w:ilvl="0">
      <w:lvlJc w:val="left"/>
      <w:lvlText w:val="%1)"/>
      <w:numFmt w:val="lowerLetter"/>
      <w:start w:val="2"/>
    </w:lvl>
  </w:abstractNum>
  <w:abstractNum w:abstractNumId="114">
    <w:nsid w:val="69E373"/>
    <w:multiLevelType w:val="hybridMultilevel"/>
    <w:lvl w:ilvl="0">
      <w:lvlJc w:val="left"/>
      <w:lvlText w:val="%1)"/>
      <w:numFmt w:val="lowerLetter"/>
      <w:start w:val="1"/>
    </w:lvl>
  </w:abstractNum>
  <w:abstractNum w:abstractNumId="115">
    <w:nsid w:val="2C27173B"/>
    <w:multiLevelType w:val="hybridMultilevel"/>
    <w:lvl w:ilvl="0">
      <w:lvlJc w:val="left"/>
      <w:lvlText w:val="%1)"/>
      <w:numFmt w:val="lowerLetter"/>
      <w:start w:val="2"/>
    </w:lvl>
  </w:abstractNum>
  <w:abstractNum w:abstractNumId="116">
    <w:nsid w:val="4C9B0904"/>
    <w:multiLevelType w:val="hybridMultilevel"/>
    <w:lvl w:ilvl="0">
      <w:lvlJc w:val="left"/>
      <w:lvlText w:val="%1)"/>
      <w:numFmt w:val="lowerLetter"/>
      <w:start w:val="4"/>
    </w:lvl>
  </w:abstractNum>
  <w:abstractNum w:abstractNumId="117">
    <w:nsid w:val="6AA7B75C"/>
    <w:multiLevelType w:val="hybridMultilevel"/>
    <w:lvl w:ilvl="0">
      <w:lvlJc w:val="left"/>
      <w:lvlText w:val="%1)"/>
      <w:numFmt w:val="lowerLetter"/>
      <w:start w:val="11"/>
    </w:lvl>
  </w:abstractNum>
  <w:abstractNum w:abstractNumId="118">
    <w:nsid w:val="1DF029D3"/>
    <w:multiLevelType w:val="hybridMultilevel"/>
    <w:lvl w:ilvl="0">
      <w:lvlJc w:val="left"/>
      <w:lvlText w:val="(%1)"/>
      <w:numFmt w:val="decimal"/>
      <w:start w:val="1"/>
    </w:lvl>
  </w:abstractNum>
  <w:abstractNum w:abstractNumId="119">
    <w:nsid w:val="5675FF36"/>
    <w:multiLevelType w:val="hybridMultilevel"/>
    <w:lvl w:ilvl="0">
      <w:lvlJc w:val="left"/>
      <w:lvlText w:val="(%1)"/>
      <w:numFmt w:val="decimal"/>
      <w:start w:val="3"/>
    </w:lvl>
  </w:abstractNum>
  <w:abstractNum w:abstractNumId="120">
    <w:nsid w:val="3DD15094"/>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2025-10-17T06:41:29Z</dcterms:created>
  <dcterms:modified xsi:type="dcterms:W3CDTF">2025-10-17T06:41:29Z</dcterms:modified>
</cp:coreProperties>
</file>