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Imran Talat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RANI THERAPEUTICS LLC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2051 RINGWOOD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444,445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03/26/2033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575,600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restricted stock unit grant vest as follows: 1/16th of the RSUs shall vest quarterly over four years from March 27, 2023.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12,343 shares held by VH Moll, L.P. The Reporting Person disclaims beneficial ownership of these securities except to the extent of his pecuniary interest therein.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as follows: 1/48th of the shares subject to the option vest monthly over four years from March 27, 2023.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Josh Seidenfeld,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80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579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2023-03-29T20:05:06Z</dcterms:created>
  <dcterms:modified xsi:type="dcterms:W3CDTF">2023-03-29T20:05:06Z</dcterms:modified>
</cp:coreProperties>
</file>