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26035</wp:posOffset>
            </wp:positionV>
            <wp:extent cx="7049135" cy="4684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468439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80" w:space="480"/>
            <w:col w:w="842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IMRAN MIR A</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(Last)</w:t>
            </w:r>
          </w:p>
        </w:tc>
        <w:tc>
          <w:tcPr>
            <w:tcW w:w="1060" w:type="dxa"/>
            <w:vAlign w:val="bottom"/>
          </w:tcPr>
          <w:p>
            <w:pPr>
              <w:ind w:left="260"/>
              <w:spacing w:after="0"/>
              <w:rPr>
                <w:sz w:val="20"/>
                <w:szCs w:val="20"/>
                <w:color w:val="auto"/>
              </w:rPr>
            </w:pPr>
            <w:r>
              <w:rPr>
                <w:rFonts w:ascii="Arial" w:cs="Arial" w:eastAsia="Arial" w:hAnsi="Arial"/>
                <w:sz w:val="12"/>
                <w:szCs w:val="12"/>
                <w:color w:val="auto"/>
              </w:rPr>
              <w:t>(First)</w:t>
            </w:r>
          </w:p>
        </w:tc>
        <w:tc>
          <w:tcPr>
            <w:tcW w:w="162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2051 RINGWOOD AVE</w:t>
            </w:r>
          </w:p>
        </w:tc>
        <w:tc>
          <w:tcPr>
            <w:tcW w:w="1620" w:type="dxa"/>
            <w:vAlign w:val="bottom"/>
          </w:tcPr>
          <w:p>
            <w:pPr>
              <w:spacing w:after="0"/>
              <w:rPr>
                <w:sz w:val="22"/>
                <w:szCs w:val="22"/>
                <w:color w:val="auto"/>
              </w:rPr>
            </w:pPr>
          </w:p>
        </w:tc>
      </w:tr>
      <w:tr>
        <w:trPr>
          <w:trHeight w:val="193"/>
        </w:trPr>
        <w:tc>
          <w:tcPr>
            <w:tcW w:w="20" w:type="dxa"/>
            <w:vAlign w:val="bottom"/>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r>
      <w:tr>
        <w:trPr>
          <w:trHeight w:val="251"/>
        </w:trPr>
        <w:tc>
          <w:tcPr>
            <w:tcW w:w="10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95131</w:t>
            </w:r>
          </w:p>
        </w:tc>
      </w:tr>
      <w:tr>
        <w:trPr>
          <w:trHeight w:val="143"/>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(City)</w:t>
            </w:r>
          </w:p>
        </w:tc>
        <w:tc>
          <w:tcPr>
            <w:tcW w:w="1060" w:type="dxa"/>
            <w:vAlign w:val="bottom"/>
          </w:tcPr>
          <w:p>
            <w:pPr>
              <w:ind w:left="2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04"/>
        </w:trPr>
        <w:tc>
          <w:tcPr>
            <w:tcW w:w="3840" w:type="dxa"/>
            <w:vAlign w:val="bottom"/>
            <w:gridSpan w:val="4"/>
          </w:tcPr>
          <w:p>
            <w:pPr>
              <w:ind w:left="60"/>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Rani Therapeutics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RANI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29"/>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2520" w:type="dxa"/>
            <w:vAlign w:val="bottom"/>
            <w:tcBorders>
              <w:top w:val="single" w:sz="8" w:color="0000EE"/>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40"/>
              <w:spacing w:after="0" w:line="105" w:lineRule="exact"/>
              <w:rPr>
                <w:sz w:val="20"/>
                <w:szCs w:val="20"/>
                <w:color w:val="auto"/>
              </w:rPr>
            </w:pPr>
            <w:r>
              <w:rPr>
                <w:rFonts w:ascii="Arial" w:cs="Arial" w:eastAsia="Arial" w:hAnsi="Arial"/>
                <w:sz w:val="12"/>
                <w:szCs w:val="12"/>
                <w:color w:val="auto"/>
              </w:rPr>
              <w:t>10% Owner</w:t>
            </w: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10"/>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12/16/2023</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219"/>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r>
      <w:tr>
        <w:trPr>
          <w:trHeight w:val="203"/>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2"/>
          </w:tcPr>
          <w:p>
            <w:pPr>
              <w:ind w:left="40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6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101,276</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4.11</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101,276</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05/24/2033</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right"/>
              <w:ind w:right="343"/>
              <w:spacing w:after="0"/>
              <w:rPr>
                <w:sz w:val="20"/>
                <w:szCs w:val="20"/>
                <w:color w:val="auto"/>
              </w:rPr>
            </w:pPr>
            <w:r>
              <w:rPr>
                <w:rFonts w:ascii="Times New Roman" w:cs="Times New Roman" w:eastAsia="Times New Roman" w:hAnsi="Times New Roman"/>
                <w:sz w:val="12"/>
                <w:szCs w:val="12"/>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101,276</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right"/>
              <w:ind w:right="182"/>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101,276</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05/24/2033</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right"/>
              <w:ind w:right="183"/>
              <w:spacing w:after="0"/>
              <w:rPr>
                <w:sz w:val="20"/>
                <w:szCs w:val="20"/>
                <w:color w:val="auto"/>
              </w:rPr>
            </w:pPr>
            <w:r>
              <w:rPr>
                <w:rFonts w:ascii="Times New Roman" w:cs="Times New Roman" w:eastAsia="Times New Roman" w:hAnsi="Times New Roman"/>
                <w:sz w:val="12"/>
                <w:szCs w:val="12"/>
                <w:color w:val="0000FF"/>
              </w:rPr>
              <w:t>101,276</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40" w:right="18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in full on May 25, 2024, subject to the recipient's Continuous Service (as defined in the Issuer's 2021 Equity Incentive Plan) through such vesting date; provided that, if earlier, the shares subject to the option will vest in full upon the occurrence of either of the following events: the Issuer's next annual stockholder meeting or a Change in Control (as defined in the 2021 Equity Incentive Plan).</w:t>
      </w:r>
    </w:p>
    <w:p>
      <w:pPr>
        <w:ind w:left="40" w:right="28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transactions reported herein reflect a one-time stock option repricing (the "Option Repricing") effective on December 16, 2023 (the "Repricing Date"). Pursuant to the Option Repricing, the exercise price of the repriced options has been amended to reduce the exercise price to $2.84 per share, the closing price of the Issuer's Common Stock on the Repricing Date. There is no change to the expiration dates or the vesting schedule of the repriced options.</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Svai Sanford. Attorney-in-Fact</w:t>
            </w:r>
          </w:p>
        </w:tc>
        <w:tc>
          <w:tcPr>
            <w:tcW w:w="20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12/19/2023</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for Mir Imran</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31686"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2023-12-19T15:11:54Z</dcterms:created>
  <dcterms:modified xsi:type="dcterms:W3CDTF">2023-12-19T15:11:54Z</dcterms:modified>
</cp:coreProperties>
</file>