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ani-20250513.htm"/>
      <w:bookmarkStart w:id="1" w:name="ksrani202505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 of</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13,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Rani Therapeutics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918"/>
        <w:gridCol w:w="835"/>
        <w:gridCol w:w="842"/>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001-40672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2051 Ringwood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Jose,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(408)</w:t>
            </w:r>
            <w:r>
              <w:rPr>
                <w:rFonts w:ascii="Times New Roman" w:hAnsi="Times New Roman"/>
                <w:color w:val="000000"/>
                <w:sz w:val="20"/>
              </w:rPr>
              <w:t xml:space="preserve"> </w:t>
            </w:r>
            <w:r>
              <w:rPr>
                <w:rFonts w:ascii="Times New Roman" w:hAnsi="Times New Roman"/>
                <w:b/>
                <w:color w:val="000000"/>
                <w:sz w:val="20"/>
              </w:rPr>
              <w:t>457-3700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May 13, 2025, Rani Therapeutics Holdings, Inc. (the “Company”) issued a press release providing a corporate update and announcing its financial results for the three months ended March 31, 2025. The full text of the press release is furnished as Exhibit 99.1 to this Current Report on Form 8-K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7521" w:type="dxa"/>
        <w:jc w:val="left"/>
        <w:tblInd w:w="0" w:type="dxa"/>
        <w:tblLayout w:type="fixed"/>
        <w:tblCellMar>
          <w:top w:w="28" w:type="dxa"/>
          <w:left w:w="28" w:type="dxa"/>
          <w:bottom w:w="28" w:type="dxa"/>
          <w:right w:w="28" w:type="dxa"/>
        </w:tblCellMar>
      </w:tblPr>
      <w:tblGrid>
        <w:gridCol w:w="811"/>
        <w:gridCol w:w="109"/>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99_1.htm">
              <w:r>
                <w:rPr>
                  <w:rStyle w:val="InternetLink"/>
                  <w:rFonts w:ascii="Times New Roman" w:hAnsi="Times New Roman"/>
                  <w:color w:val="0000FF"/>
                  <w:sz w:val="20"/>
                  <w:u w:val="single"/>
                </w:rPr>
                <w:t>Press Release of Rani Therapeutics Holdings, Inc. dated May 13,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074" w:type="dxa"/>
        <w:jc w:val="left"/>
        <w:tblInd w:w="0" w:type="dxa"/>
        <w:tblLayout w:type="fixed"/>
        <w:tblCellMar>
          <w:top w:w="28" w:type="dxa"/>
          <w:left w:w="28" w:type="dxa"/>
          <w:bottom w:w="28" w:type="dxa"/>
          <w:right w:w="28" w:type="dxa"/>
        </w:tblCellMar>
      </w:tblPr>
      <w:tblGrid>
        <w:gridCol w:w="556"/>
        <w:gridCol w:w="1246"/>
        <w:gridCol w:w="451"/>
        <w:gridCol w:w="282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Rani Therapeutics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13,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Svai Sanford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Svai Sanford</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ani-ex99_1.htm"/>
      <w:bookmarkStart w:id="3" w:name="ksraniex99_1"/>
      <w:bookmarkEnd w:id="2"/>
      <w:bookmarkEnd w:id="3"/>
      <w:r>
        <w:rPr>
          <w:rFonts w:ascii="Times New Roman" w:hAnsi="Times New Roman"/>
          <w:b/>
          <w:color w:val="000000"/>
          <w:sz w:val="20"/>
        </w:rPr>
        <w:t>Exhibit 99.1</w:t>
      </w:r>
      <w:r>
        <w:br w:type="page"/>
      </w:r>
    </w:p>
    <w:p>
      <w:pPr>
        <w:pStyle w:val="TextBody"/>
        <w:bidi w:val="0"/>
        <w:jc w:val="right"/>
        <w:rPr/>
      </w:pPr>
      <w:r>
        <w:rPr/>
        <w:t> </w:t>
      </w:r>
    </w:p>
    <w:p>
      <w:pPr>
        <w:pStyle w:val="TextBody"/>
        <w:bidi w:val="0"/>
        <w:jc w:val="center"/>
        <w:rPr/>
      </w:pPr>
      <w:r>
        <w:rPr/>
        <w:drawing>
          <wp:inline distT="0" distB="0" distL="0" distR="0">
            <wp:extent cx="1666875"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38200"/>
                    </a:xfrm>
                    <a:prstGeom prst="rect">
                      <a:avLst/>
                    </a:prstGeom>
                  </pic:spPr>
                </pic:pic>
              </a:graphicData>
            </a:graphic>
          </wp:inline>
        </w:drawing>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Rani Therapeutics Reports First Quarter 2025 Financial Results; Provides Corporate Update</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 Announced preclinical data demonstrating the bioequivalence of RT-114, a bispecific GLP-1/GLP-2 receptor agonist (PG-102), delivered orally via the RaniPill® capsule, to subcutaneous administration of PG-102 -</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 Phase 1 study for RT-114 for the treatment of obesity expected to initiate in mid-2025 -</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 Announced preclinical data demonstrating successful oral delivery of semaglutide via RaniPill® capsule -</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SAN JOSE, Calif., May 13, 2025 </w:t>
      </w:r>
      <w:r>
        <w:rPr>
          <w:rFonts w:ascii="Times New Roman" w:hAnsi="Times New Roman"/>
          <w:color w:val="000000"/>
          <w:sz w:val="20"/>
        </w:rPr>
        <w:t>-- Rani Therapeutics Holdings, Inc. (“Rani Therapeutics” or “Rani”) (Nasdaq: RANI), a clinical-stage biotherapeutics company focused on the oral delivery of biologics and drugs, today reported financial results for the first quarter ended March 31, 2025 and provided a corporate update.</w:t>
      </w:r>
    </w:p>
    <w:p>
      <w:pPr>
        <w:pStyle w:val="TextBody"/>
        <w:bidi w:val="0"/>
        <w:spacing w:before="180" w:after="283"/>
        <w:jc w:val="left"/>
        <w:rPr>
          <w:color w:val="000000"/>
        </w:rPr>
      </w:pPr>
      <w:r>
        <w:rPr>
          <w:color w:val="000000"/>
        </w:rPr>
        <w:t>“</w:t>
      </w:r>
      <w:r>
        <w:rPr>
          <w:rFonts w:ascii="Times New Roman" w:hAnsi="Times New Roman"/>
          <w:color w:val="000000"/>
          <w:sz w:val="20"/>
        </w:rPr>
        <w:t>We are encouraged by our progress this quarter, highlighted by promising preclinical data supporting the development of multiple incretin-based therapies using the RaniPill® platform. These data serve as preclinical proof of concept for the treatment of obesity bringing us one step closer to our vision of making oral biologics a reality for patients living with obesity,” said Talat Imran, Chief Executive Officer of Rani Therapeutics. “In our preclinical study, oral delivery of RT-114 demonstrated pharmacokinetics, bioavailability, and weight loss comparable to subcutaneous injection. Further, our target product profile for RT-114 requires less frequent dosing than current oral options providing a potentially more convenient dosing regimen for patients. Overall, we believe RT-114 has the potential to fill the current gap in the obesity treatment landscape as a first-in-class oral bispecific GLP-1/GLP-2 receptor agonist. Our Phase 1 study of RT-114 is expected to begin later this year.”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First Quarter 2025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Preclinical data demonstrating bioequivalence of RT-114, a bispecific GLP-1/GLP-2 receptor agonist (PG-102) delivered orally via the RaniPill® capsule, to subcutaneously administered PG-102.</w:t>
      </w:r>
      <w:r>
        <w:rPr>
          <w:color w:val="000000"/>
        </w:rPr>
        <w:t xml:space="preserve"> </w:t>
      </w:r>
      <w:r>
        <w:rPr>
          <w:rFonts w:ascii="Times New Roman" w:hAnsi="Times New Roman"/>
          <w:color w:val="000000"/>
          <w:sz w:val="20"/>
        </w:rPr>
        <w:t>In March 2025, Rani released new preclinical data, where RT-114 yielded a relative bioavailability of 111% compared to PG-102 delivered subcutaneously with comparable pharmacokinetic profiles demonstrating bioequivalence. Data adds to growing body of evidence of the RaniPill® platform’s potential to enable oral delivery of multiple obesity treatments.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Preclinical data demonstrating successful oral delivery of semaglutide via RaniPill® capsule.</w:t>
      </w:r>
      <w:r>
        <w:rPr>
          <w:color w:val="000000"/>
        </w:rPr>
        <w:t xml:space="preserve"> </w:t>
      </w:r>
      <w:r>
        <w:rPr>
          <w:rFonts w:ascii="Times New Roman" w:hAnsi="Times New Roman"/>
          <w:color w:val="000000"/>
          <w:sz w:val="20"/>
        </w:rPr>
        <w:t>In February 2025, Rani released preclinical data that demonstrated semaglutide administered orally via the RaniPill® capsule (RT-116) resulted in comparable bioavailability, pharmacokinetics and weight loss to subcutaneous administration of semaglutide. RT-116 was well tolerated with no serious adverse events.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Near-Term Milestone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Phase 1 clinical trial of RT-114 for the treatment of obesity expected in mid-2025.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First Quarter 2025 Financial Results: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Cash, cash equivalents and marketable securities</w:t>
      </w:r>
      <w:r>
        <w:rPr>
          <w:color w:val="000000"/>
        </w:rPr>
        <w:t xml:space="preserve"> </w:t>
      </w:r>
      <w:r>
        <w:rPr>
          <w:rFonts w:ascii="Times New Roman" w:hAnsi="Times New Roman"/>
          <w:color w:val="000000"/>
          <w:sz w:val="20"/>
        </w:rPr>
        <w:t>as of March 31, 2025 totaled $15.9 million, compared to $27.6 million for the year ended December 31,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Contract Revenue </w:t>
      </w:r>
      <w:r>
        <w:rPr>
          <w:rFonts w:ascii="Times New Roman" w:hAnsi="Times New Roman"/>
          <w:color w:val="000000"/>
          <w:sz w:val="20"/>
        </w:rPr>
        <w:t xml:space="preserve">for the three months ended March 31, 2025 were $0.2 million and was attributable to evaluation services performed for a customer. There was no contract revenue for the same period in 2024.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Research and development expenses</w:t>
      </w:r>
      <w:r>
        <w:rPr>
          <w:color w:val="000000"/>
        </w:rPr>
        <w:t xml:space="preserve"> </w:t>
      </w:r>
      <w:r>
        <w:rPr>
          <w:rFonts w:ascii="Times New Roman" w:hAnsi="Times New Roman"/>
          <w:color w:val="000000"/>
          <w:sz w:val="20"/>
        </w:rPr>
        <w:t>for the three months ended March 31, 2025 were $6.6 million, compared to $7.6 million for the same period in 2024. The decrease of $1.0 million was primarily attributable to lower compensation costs.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General and administrative expenses</w:t>
      </w:r>
      <w:r>
        <w:rPr>
          <w:color w:val="000000"/>
        </w:rPr>
        <w:t xml:space="preserve"> </w:t>
      </w:r>
      <w:r>
        <w:rPr>
          <w:rFonts w:ascii="Times New Roman" w:hAnsi="Times New Roman"/>
          <w:color w:val="000000"/>
          <w:sz w:val="20"/>
        </w:rPr>
        <w:t>for the three months ended March 31, 2025 were $5.6 million, compared to $6.4 million for the same period in 2024. The decrease of $0.8 million was primarily attributable to lower compensation costs of $0.4 million and $0.5 million reduction in third-party services.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Net loss</w:t>
      </w:r>
      <w:r>
        <w:rPr>
          <w:color w:val="000000"/>
        </w:rPr>
        <w:t xml:space="preserve"> </w:t>
      </w:r>
      <w:r>
        <w:rPr>
          <w:rFonts w:ascii="Times New Roman" w:hAnsi="Times New Roman"/>
          <w:color w:val="000000"/>
          <w:sz w:val="20"/>
        </w:rPr>
        <w:t>for the three months ended March 31, 2025 were $12.7 million, compared to $14.8 million for the same period in 2024, including non-cash stock-based compensation expense of $3.9 million for both comparative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About Rani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Rani Therapeutics is a clinical-stage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expected initiation of a Phase 1 trial of RT-114 in mid-2025, the potential of the RaniPill® platform to enable oral delivery of multiple obesity treatments and validation of such potential through preclinical data, the potential of the RT-114 to offer less frequent and more convenient dosing than current options, the potential for RT-114 to become a first-in-class, orally administered bispecific GLP-1/GLP-2 receptor agonist for the treatment of obesity, the potential for Rani to make oral biologics a reality, the current preclinical data being supportive of development of multiple incretin-based therapies using the RaniPill® capsule, the sufficiency of Rani’s cash reserves, the timing and extent of its expenses, and future financial performance. Because such statements are subject to risks and uncertainties, actual results may differ materially from those expressed or implied by such forward-looking statements. Words such as “promising,” “believe,” “potential,” “target,” “expect,”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2024,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Investor Contact:</w:t>
      </w:r>
    </w:p>
    <w:p>
      <w:pPr>
        <w:pStyle w:val="TextBody"/>
        <w:bidi w:val="0"/>
        <w:spacing w:before="0" w:after="160"/>
        <w:jc w:val="both"/>
        <w:rPr>
          <w:rFonts w:ascii="Times New Roman" w:hAnsi="Times New Roman"/>
          <w:color w:val="0000FF"/>
          <w:sz w:val="20"/>
          <w:u w:val="single"/>
        </w:rPr>
      </w:pPr>
      <w:r>
        <w:rPr>
          <w:rFonts w:ascii="Times New Roman" w:hAnsi="Times New Roman"/>
          <w:color w:val="0000FF"/>
          <w:sz w:val="20"/>
          <w:u w:val="single"/>
        </w:rPr>
        <w:t>investors@ranitherapeutics.com</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Media Contact:</w:t>
      </w:r>
    </w:p>
    <w:p>
      <w:pPr>
        <w:pStyle w:val="TextBody"/>
        <w:bidi w:val="0"/>
        <w:spacing w:before="0" w:after="160"/>
        <w:jc w:val="both"/>
        <w:rPr>
          <w:rFonts w:ascii="Times New Roman" w:hAnsi="Times New Roman"/>
          <w:color w:val="0000FF"/>
          <w:sz w:val="20"/>
          <w:u w:val="single"/>
        </w:rPr>
      </w:pPr>
      <w:r>
        <w:rPr>
          <w:rFonts w:ascii="Times New Roman" w:hAnsi="Times New Roman"/>
          <w:color w:val="0000FF"/>
          <w:sz w:val="20"/>
          <w:u w:val="single"/>
        </w:rPr>
        <w:t>media@ranitherapeutics.com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033"/>
        <w:gridCol w:w="146"/>
        <w:gridCol w:w="211"/>
        <w:gridCol w:w="841"/>
        <w:gridCol w:w="166"/>
        <w:gridCol w:w="146"/>
        <w:gridCol w:w="214"/>
        <w:gridCol w:w="856"/>
        <w:gridCol w:w="592"/>
      </w:tblGrid>
      <w:tr>
        <w:trPr/>
        <w:tc>
          <w:tcPr>
            <w:tcW w:w="7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- 20,000 shares authorized; none issued and outstanding as of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$0.0001 par value - 800,000 shares authorized; 33,570 and 33,430 issued and outstanding as of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 $0.0001 par value - 40,000 shares authorized; 23,972 issued and outstanding as of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 stock, $0.0001 par value - 20,000 shares authorized; none issued and outstanding as of March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104,889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(102,907</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(deficit)/equity attributable to Rani Therapeutics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(deficit)/equity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12"/>
        <w:gridCol w:w="146"/>
        <w:gridCol w:w="224"/>
        <w:gridCol w:w="786"/>
        <w:gridCol w:w="176"/>
        <w:gridCol w:w="155"/>
        <w:gridCol w:w="224"/>
        <w:gridCol w:w="786"/>
        <w:gridCol w:w="796"/>
      </w:tblGrid>
      <w:tr>
        <w:trPr/>
        <w:tc>
          <w:tcPr>
            <w:tcW w:w="6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w:t>
            </w:r>
          </w:p>
        </w:tc>
        <w:tc>
          <w:tcPr>
            <w:tcW w:w="1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14,034</w:t>
            </w:r>
          </w:p>
        </w:tc>
        <w:tc>
          <w:tcPr>
            <w:tcW w:w="79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(14,779</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9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(7,296</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9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Class A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33,440</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26,034</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1976</Words>
  <Characters>11430</Characters>
  <CharactersWithSpaces>13478</CharactersWithSpaces>
  <Paragraphs>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