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42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42205"/>
                    </a:xfrm>
                    <a:prstGeom prst="rect">
                      <a:avLst/>
                    </a:prstGeom>
                    <a:noFill/>
                  </pic:spPr>
                </pic:pic>
              </a:graphicData>
            </a:graphic>
          </wp:anchor>
        </w:drawing>
      </w:r>
    </w:p>
    <w:p>
      <w:pPr>
        <w:sectPr>
          <w:pgSz w:w="11900" w:h="16838" w:orient="portrait"/>
          <w:cols w:equalWidth="0" w:num="1">
            <w:col w:w="10940"/>
          </w:cols>
          <w:pgMar w:left="480" w:top="236" w:right="479" w:bottom="85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IMRAN MIR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857"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85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47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2740" w:type="dxa"/>
            <w:vAlign w:val="bottom"/>
            <w:tcBorders>
              <w:bottom w:val="single" w:sz="8" w:color="2C2C2C"/>
            </w:tcBorders>
          </w:tcPr>
          <w:p>
            <w:pPr>
              <w:jc w:val="right"/>
              <w:ind w:right="1116"/>
              <w:spacing w:after="0"/>
              <w:rPr>
                <w:sz w:val="20"/>
                <w:szCs w:val="20"/>
                <w:color w:val="auto"/>
              </w:rPr>
            </w:pPr>
            <w:r>
              <w:rPr>
                <w:rFonts w:ascii="Arial" w:cs="Arial" w:eastAsia="Arial" w:hAnsi="Arial"/>
                <w:sz w:val="20"/>
                <w:szCs w:val="20"/>
                <w:color w:val="0000FF"/>
              </w:rPr>
              <w:t>1,122,283</w:t>
            </w:r>
          </w:p>
        </w:tc>
        <w:tc>
          <w:tcPr>
            <w:tcW w:w="700" w:type="dxa"/>
            <w:vAlign w:val="bottom"/>
            <w:tcBorders>
              <w:bottom w:val="single" w:sz="8" w:color="2C2C2C"/>
            </w:tcBorders>
          </w:tcPr>
          <w:p>
            <w:pPr>
              <w:spacing w:after="0"/>
              <w:rPr>
                <w:sz w:val="20"/>
                <w:szCs w:val="20"/>
                <w:color w:val="auto"/>
              </w:rPr>
            </w:pPr>
            <w:r>
              <w:rPr>
                <w:rFonts w:ascii="Arial" w:cs="Arial" w:eastAsia="Arial" w:hAnsi="Arial"/>
                <w:sz w:val="20"/>
                <w:szCs w:val="20"/>
                <w:color w:val="0000FF"/>
              </w:rPr>
              <w:t>I</w:t>
            </w:r>
          </w:p>
        </w:tc>
        <w:tc>
          <w:tcPr>
            <w:tcW w:w="132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97"/>
              </w:rPr>
              <w:t>See footnote</w:t>
            </w:r>
            <w:r>
              <w:rPr>
                <w:rFonts w:ascii="Arial" w:cs="Arial" w:eastAsia="Arial" w:hAnsi="Arial"/>
                <w:sz w:val="25"/>
                <w:szCs w:val="25"/>
                <w:color w:val="008000"/>
                <w:w w:val="97"/>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70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2740" w:type="dxa"/>
            <w:vAlign w:val="bottom"/>
            <w:tcBorders>
              <w:bottom w:val="single" w:sz="8" w:color="2C2C2C"/>
            </w:tcBorders>
          </w:tcPr>
          <w:p>
            <w:pPr>
              <w:jc w:val="right"/>
              <w:ind w:right="1076"/>
              <w:spacing w:after="0"/>
              <w:rPr>
                <w:sz w:val="20"/>
                <w:szCs w:val="20"/>
                <w:color w:val="auto"/>
              </w:rPr>
            </w:pPr>
            <w:r>
              <w:rPr>
                <w:rFonts w:ascii="Arial" w:cs="Arial" w:eastAsia="Arial" w:hAnsi="Arial"/>
                <w:sz w:val="20"/>
                <w:szCs w:val="20"/>
                <w:color w:val="0000FF"/>
              </w:rPr>
              <w:t>33,765,518</w:t>
            </w:r>
          </w:p>
        </w:tc>
        <w:tc>
          <w:tcPr>
            <w:tcW w:w="700" w:type="dxa"/>
            <w:vAlign w:val="bottom"/>
            <w:tcBorders>
              <w:bottom w:val="single" w:sz="8" w:color="2C2C2C"/>
            </w:tcBorders>
          </w:tcPr>
          <w:p>
            <w:pPr>
              <w:spacing w:after="0"/>
              <w:rPr>
                <w:sz w:val="20"/>
                <w:szCs w:val="20"/>
                <w:color w:val="auto"/>
              </w:rPr>
            </w:pPr>
            <w:r>
              <w:rPr>
                <w:rFonts w:ascii="Arial" w:cs="Arial" w:eastAsia="Arial" w:hAnsi="Arial"/>
                <w:sz w:val="20"/>
                <w:szCs w:val="20"/>
                <w:color w:val="0000FF"/>
              </w:rPr>
              <w:t>I</w:t>
            </w:r>
          </w:p>
        </w:tc>
        <w:tc>
          <w:tcPr>
            <w:tcW w:w="132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84"/>
              </w:rPr>
              <w:t>See footnote</w:t>
            </w:r>
            <w:r>
              <w:rPr>
                <w:rFonts w:ascii="Arial" w:cs="Arial" w:eastAsia="Arial" w:hAnsi="Arial"/>
                <w:sz w:val="25"/>
                <w:szCs w:val="25"/>
                <w:color w:val="008000"/>
                <w:w w:val="84"/>
                <w:vertAlign w:val="superscript"/>
              </w:rPr>
              <w:t>(2)(3)</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140" w:type="dxa"/>
            <w:vAlign w:val="bottom"/>
            <w:tcBorders>
              <w:top w:val="single" w:sz="8" w:color="2C2C2C"/>
            </w:tcBorders>
            <w:gridSpan w:val="3"/>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r>
      <w:tr>
        <w:trPr>
          <w:trHeight w:val="259"/>
        </w:trPr>
        <w:tc>
          <w:tcPr>
            <w:tcW w:w="20" w:type="dxa"/>
            <w:vAlign w:val="bottom"/>
          </w:tcPr>
          <w:p>
            <w:pPr>
              <w:spacing w:after="0"/>
              <w:rPr>
                <w:sz w:val="22"/>
                <w:szCs w:val="22"/>
                <w:color w:val="auto"/>
              </w:rPr>
            </w:pPr>
          </w:p>
        </w:tc>
        <w:tc>
          <w:tcPr>
            <w:tcW w:w="8140" w:type="dxa"/>
            <w:vAlign w:val="bottom"/>
            <w:gridSpan w:val="3"/>
          </w:tcPr>
          <w:p>
            <w:pPr>
              <w:ind w:left="27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7"/>
        </w:trPr>
        <w:tc>
          <w:tcPr>
            <w:tcW w:w="20" w:type="dxa"/>
            <w:vAlign w:val="bottom"/>
          </w:tcPr>
          <w:p>
            <w:pPr>
              <w:spacing w:after="0"/>
              <w:rPr>
                <w:sz w:val="4"/>
                <w:szCs w:val="4"/>
                <w:color w:val="auto"/>
              </w:rPr>
            </w:pPr>
          </w:p>
        </w:tc>
        <w:tc>
          <w:tcPr>
            <w:tcW w:w="470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06"/>
        </w:trPr>
        <w:tc>
          <w:tcPr>
            <w:tcW w:w="2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40" w:type="dxa"/>
            <w:vAlign w:val="bottom"/>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14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r>
      <w:tr>
        <w:trPr>
          <w:trHeight w:val="165"/>
        </w:trPr>
        <w:tc>
          <w:tcPr>
            <w:tcW w:w="20" w:type="dxa"/>
            <w:vAlign w:val="bottom"/>
          </w:tcPr>
          <w:p>
            <w:pPr>
              <w:spacing w:after="0"/>
              <w:rPr>
                <w:sz w:val="14"/>
                <w:szCs w:val="14"/>
                <w:color w:val="auto"/>
              </w:rPr>
            </w:pPr>
          </w:p>
        </w:tc>
        <w:tc>
          <w:tcPr>
            <w:tcW w:w="4700" w:type="dxa"/>
            <w:vAlign w:val="bottom"/>
          </w:tcPr>
          <w:p>
            <w:pPr>
              <w:ind w:left="292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106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Conversion</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r>
      <w:tr>
        <w:trPr>
          <w:trHeight w:val="183"/>
        </w:trPr>
        <w:tc>
          <w:tcPr>
            <w:tcW w:w="20" w:type="dxa"/>
            <w:vAlign w:val="bottom"/>
          </w:tcPr>
          <w:p>
            <w:pPr>
              <w:spacing w:after="0"/>
              <w:rPr>
                <w:sz w:val="15"/>
                <w:szCs w:val="15"/>
                <w:color w:val="auto"/>
              </w:rPr>
            </w:pPr>
          </w:p>
        </w:tc>
        <w:tc>
          <w:tcPr>
            <w:tcW w:w="4700" w:type="dxa"/>
            <w:vAlign w:val="bottom"/>
          </w:tcPr>
          <w:p>
            <w:pPr>
              <w:ind w:left="2920"/>
              <w:spacing w:after="0"/>
              <w:rPr>
                <w:sz w:val="20"/>
                <w:szCs w:val="20"/>
                <w:color w:val="auto"/>
              </w:rPr>
            </w:pPr>
            <w:r>
              <w:rPr>
                <w:rFonts w:ascii="Arial" w:cs="Arial" w:eastAsia="Arial" w:hAnsi="Arial"/>
                <w:sz w:val="15"/>
                <w:szCs w:val="15"/>
                <w:b w:val="1"/>
                <w:bCs w:val="1"/>
                <w:color w:val="auto"/>
              </w:rPr>
              <w:t>(Month/Day/Year)</w:t>
            </w:r>
          </w:p>
        </w:tc>
        <w:tc>
          <w:tcPr>
            <w:tcW w:w="274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5"/>
                <w:szCs w:val="15"/>
                <w:b w:val="1"/>
                <w:bCs w:val="1"/>
                <w:color w:val="auto"/>
              </w:rPr>
              <w:t>or Exercise</w:t>
            </w: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Ownership (Instr.</w:t>
            </w:r>
          </w:p>
        </w:tc>
      </w:tr>
    </w:tbl>
    <w:p>
      <w:pPr>
        <w:spacing w:after="0" w:line="1" w:lineRule="exact"/>
        <w:rPr>
          <w:sz w:val="24"/>
          <w:szCs w:val="24"/>
          <w:color w:val="auto"/>
        </w:rPr>
      </w:pPr>
    </w:p>
    <w:p>
      <w:pPr>
        <w:sectPr>
          <w:pgSz w:w="11900" w:h="16838" w:orient="portrait"/>
          <w:cols w:equalWidth="0" w:num="1">
            <w:col w:w="10940"/>
          </w:cols>
          <w:pgMar w:left="480" w:top="236" w:right="479" w:bottom="857" w:gutter="0" w:footer="0" w:header="0"/>
          <w:type w:val="continuous"/>
        </w:sectPr>
      </w:pPr>
    </w:p>
    <w:p>
      <w:pPr>
        <w:spacing w:after="0" w:line="131" w:lineRule="exact"/>
        <w:rPr>
          <w:sz w:val="24"/>
          <w:szCs w:val="24"/>
          <w:color w:val="auto"/>
        </w:rPr>
      </w:pPr>
    </w:p>
    <w:p>
      <w:pPr>
        <w:ind w:left="6580"/>
        <w:spacing w:after="0"/>
        <w:rPr>
          <w:sz w:val="20"/>
          <w:szCs w:val="20"/>
          <w:color w:val="auto"/>
        </w:rPr>
      </w:pPr>
      <w:r>
        <w:rPr>
          <w:rFonts w:ascii="Arial" w:cs="Arial" w:eastAsia="Arial" w:hAnsi="Arial"/>
          <w:sz w:val="15"/>
          <w:szCs w:val="15"/>
          <w:b w:val="1"/>
          <w:bCs w:val="1"/>
          <w:color w:val="auto"/>
        </w:rPr>
        <w:t>Amount or</w:t>
      </w:r>
    </w:p>
    <w:p>
      <w:pPr>
        <w:spacing w:after="0" w:line="3" w:lineRule="exact"/>
        <w:rPr>
          <w:sz w:val="24"/>
          <w:szCs w:val="24"/>
          <w:color w:val="auto"/>
        </w:rPr>
      </w:pPr>
    </w:p>
    <w:p>
      <w:pPr>
        <w:ind w:left="2940"/>
        <w:spacing w:after="0"/>
        <w:tabs>
          <w:tab w:leader="none" w:pos="3920" w:val="left"/>
          <w:tab w:leader="none" w:pos="656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4"/>
          <w:szCs w:val="14"/>
          <w:b w:val="1"/>
          <w:bCs w:val="1"/>
          <w:color w:val="auto"/>
        </w:rPr>
        <w:t>Number of</w:t>
      </w:r>
    </w:p>
    <w:p>
      <w:pPr>
        <w:ind w:left="2940"/>
        <w:spacing w:after="0"/>
        <w:tabs>
          <w:tab w:leader="none" w:pos="3920" w:val="left"/>
          <w:tab w:leader="none" w:pos="4800" w:val="left"/>
          <w:tab w:leader="none" w:pos="656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860" w:type="dxa"/>
            <w:vAlign w:val="bottom"/>
          </w:tcPr>
          <w:p>
            <w:pPr>
              <w:spacing w:after="0" w:line="147"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47"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47"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198"/>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276" w:lineRule="exact"/>
        <w:rPr>
          <w:sz w:val="24"/>
          <w:szCs w:val="24"/>
          <w:color w:val="auto"/>
        </w:rPr>
      </w:pPr>
    </w:p>
    <w:p>
      <w:pPr>
        <w:sectPr>
          <w:pgSz w:w="11900" w:h="16838" w:orient="portrait"/>
          <w:cols w:equalWidth="0" w:num="2">
            <w:col w:w="7340" w:space="260"/>
            <w:col w:w="3340"/>
          </w:cols>
          <w:pgMar w:left="480" w:top="236" w:right="479" w:bottom="857" w:gutter="0" w:footer="0" w:header="0"/>
          <w:type w:val="continuous"/>
        </w:sectPr>
      </w:pPr>
    </w:p>
    <w:tbl>
      <w:tblPr>
        <w:tblLayout w:type="fixed"/>
        <w:tblInd w:w="100" w:type="dxa"/>
        <w:tblCellMar>
          <w:top w:w="0" w:type="dxa"/>
          <w:left w:w="0" w:type="dxa"/>
          <w:bottom w:w="0" w:type="dxa"/>
          <w:right w:w="0" w:type="dxa"/>
        </w:tblCellMar>
      </w:tblPr>
      <w:tr>
        <w:trPr>
          <w:trHeight w:val="240"/>
        </w:trPr>
        <w:tc>
          <w:tcPr>
            <w:tcW w:w="2800" w:type="dxa"/>
            <w:vAlign w:val="bottom"/>
            <w:vMerge w:val="restart"/>
          </w:tcPr>
          <w:p>
            <w:pPr>
              <w:spacing w:after="0"/>
              <w:rPr>
                <w:sz w:val="20"/>
                <w:szCs w:val="20"/>
                <w:color w:val="auto"/>
              </w:rPr>
            </w:pPr>
            <w:r>
              <w:rPr>
                <w:rFonts w:ascii="Arial" w:cs="Arial" w:eastAsia="Arial" w:hAnsi="Arial"/>
                <w:sz w:val="20"/>
                <w:szCs w:val="20"/>
                <w:color w:val="0000FF"/>
              </w:rPr>
              <w:t>Class A Common LLC Units</w:t>
            </w:r>
            <w:r>
              <w:rPr>
                <w:rFonts w:ascii="Arial" w:cs="Arial" w:eastAsia="Arial" w:hAnsi="Arial"/>
                <w:sz w:val="25"/>
                <w:szCs w:val="25"/>
                <w:color w:val="008000"/>
                <w:vertAlign w:val="superscript"/>
              </w:rPr>
              <w:t>(3)</w:t>
            </w:r>
          </w:p>
        </w:tc>
        <w:tc>
          <w:tcPr>
            <w:tcW w:w="940" w:type="dxa"/>
            <w:vAlign w:val="bottom"/>
            <w:vMerge w:val="restart"/>
          </w:tcPr>
          <w:p>
            <w:pPr>
              <w:jc w:val="right"/>
              <w:ind w:right="337"/>
              <w:spacing w:after="0"/>
              <w:rPr>
                <w:sz w:val="20"/>
                <w:szCs w:val="20"/>
                <w:color w:val="auto"/>
              </w:rPr>
            </w:pPr>
            <w:r>
              <w:rPr>
                <w:rFonts w:ascii="Arial" w:cs="Arial" w:eastAsia="Arial" w:hAnsi="Arial"/>
                <w:sz w:val="13"/>
                <w:szCs w:val="13"/>
                <w:color w:val="008000"/>
              </w:rPr>
              <w:t>(3)</w:t>
            </w:r>
          </w:p>
        </w:tc>
        <w:tc>
          <w:tcPr>
            <w:tcW w:w="800" w:type="dxa"/>
            <w:vAlign w:val="bottom"/>
            <w:vMerge w:val="restart"/>
          </w:tcPr>
          <w:p>
            <w:pPr>
              <w:jc w:val="right"/>
              <w:ind w:right="197"/>
              <w:spacing w:after="0"/>
              <w:rPr>
                <w:sz w:val="20"/>
                <w:szCs w:val="20"/>
                <w:color w:val="auto"/>
              </w:rPr>
            </w:pPr>
            <w:r>
              <w:rPr>
                <w:rFonts w:ascii="Arial" w:cs="Arial" w:eastAsia="Arial" w:hAnsi="Arial"/>
                <w:sz w:val="13"/>
                <w:szCs w:val="13"/>
                <w:color w:val="008000"/>
              </w:rPr>
              <w:t>(3)</w:t>
            </w:r>
          </w:p>
        </w:tc>
        <w:tc>
          <w:tcPr>
            <w:tcW w:w="1800" w:type="dxa"/>
            <w:vAlign w:val="bottom"/>
          </w:tcPr>
          <w:p>
            <w:pPr>
              <w:jc w:val="center"/>
              <w:ind w:left="62"/>
              <w:spacing w:after="0"/>
              <w:rPr>
                <w:sz w:val="20"/>
                <w:szCs w:val="20"/>
                <w:color w:val="auto"/>
              </w:rPr>
            </w:pPr>
            <w:r>
              <w:rPr>
                <w:rFonts w:ascii="Arial" w:cs="Arial" w:eastAsia="Arial" w:hAnsi="Arial"/>
                <w:sz w:val="20"/>
                <w:szCs w:val="20"/>
                <w:color w:val="0000FF"/>
                <w:w w:val="89"/>
              </w:rPr>
              <w:t>Class A Common</w:t>
            </w:r>
          </w:p>
        </w:tc>
        <w:tc>
          <w:tcPr>
            <w:tcW w:w="1260" w:type="dxa"/>
            <w:vAlign w:val="bottom"/>
            <w:vMerge w:val="restart"/>
          </w:tcPr>
          <w:p>
            <w:pPr>
              <w:jc w:val="right"/>
              <w:ind w:right="142"/>
              <w:spacing w:after="0"/>
              <w:rPr>
                <w:sz w:val="20"/>
                <w:szCs w:val="20"/>
                <w:color w:val="auto"/>
              </w:rPr>
            </w:pPr>
            <w:r>
              <w:rPr>
                <w:rFonts w:ascii="Arial" w:cs="Arial" w:eastAsia="Arial" w:hAnsi="Arial"/>
                <w:sz w:val="20"/>
                <w:szCs w:val="20"/>
                <w:color w:val="0000FF"/>
                <w:w w:val="99"/>
              </w:rPr>
              <w:t>33,765,518</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(3)</w:t>
            </w:r>
          </w:p>
        </w:tc>
        <w:tc>
          <w:tcPr>
            <w:tcW w:w="76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vMerge w:val="restart"/>
          </w:tcPr>
          <w:p>
            <w:pPr>
              <w:ind w:left="240"/>
              <w:spacing w:after="0"/>
              <w:rPr>
                <w:sz w:val="20"/>
                <w:szCs w:val="20"/>
                <w:color w:val="auto"/>
              </w:rPr>
            </w:pPr>
            <w:r>
              <w:rPr>
                <w:rFonts w:ascii="Arial" w:cs="Arial" w:eastAsia="Arial" w:hAnsi="Arial"/>
                <w:sz w:val="20"/>
                <w:szCs w:val="20"/>
                <w:color w:val="0000FF"/>
                <w:w w:val="81"/>
              </w:rPr>
              <w:t>See footnote</w:t>
            </w:r>
            <w:r>
              <w:rPr>
                <w:rFonts w:ascii="Arial" w:cs="Arial" w:eastAsia="Arial" w:hAnsi="Arial"/>
                <w:sz w:val="25"/>
                <w:szCs w:val="25"/>
                <w:color w:val="008000"/>
                <w:w w:val="81"/>
                <w:vertAlign w:val="superscript"/>
              </w:rPr>
              <w:t>(2)(3)</w:t>
            </w:r>
          </w:p>
        </w:tc>
        <w:tc>
          <w:tcPr>
            <w:tcW w:w="0" w:type="dxa"/>
            <w:vAlign w:val="bottom"/>
          </w:tcPr>
          <w:p>
            <w:pPr>
              <w:spacing w:after="0"/>
              <w:rPr>
                <w:sz w:val="1"/>
                <w:szCs w:val="1"/>
                <w:color w:val="auto"/>
              </w:rPr>
            </w:pPr>
          </w:p>
        </w:tc>
      </w:tr>
      <w:tr>
        <w:trPr>
          <w:trHeight w:val="190"/>
        </w:trPr>
        <w:tc>
          <w:tcPr>
            <w:tcW w:w="28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800" w:type="dxa"/>
            <w:vAlign w:val="bottom"/>
            <w:vMerge w:val="restart"/>
          </w:tcPr>
          <w:p>
            <w:pPr>
              <w:jc w:val="center"/>
              <w:ind w:left="62"/>
              <w:spacing w:after="0"/>
              <w:rPr>
                <w:sz w:val="20"/>
                <w:szCs w:val="20"/>
                <w:color w:val="auto"/>
              </w:rPr>
            </w:pPr>
            <w:r>
              <w:rPr>
                <w:rFonts w:ascii="Arial" w:cs="Arial" w:eastAsia="Arial" w:hAnsi="Arial"/>
                <w:sz w:val="20"/>
                <w:szCs w:val="20"/>
                <w:color w:val="0000FF"/>
                <w:w w:val="85"/>
              </w:rPr>
              <w:t>Stock</w:t>
            </w:r>
            <w:r>
              <w:rPr>
                <w:rFonts w:ascii="Arial" w:cs="Arial" w:eastAsia="Arial" w:hAnsi="Arial"/>
                <w:sz w:val="25"/>
                <w:szCs w:val="25"/>
                <w:color w:val="008000"/>
                <w:w w:val="85"/>
                <w:vertAlign w:val="superscript"/>
              </w:rPr>
              <w:t>(3)</w:t>
            </w:r>
          </w:p>
        </w:tc>
        <w:tc>
          <w:tcPr>
            <w:tcW w:w="12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512,180 shares of Class A Common Stock of the Issuer ("Class A Shares") held by Biologix Partners, LP and 610,103 Class A Shares held by VH Rani, LP. The Reporting Person disclaims beneficial ownership of these securities except to the extent of his pecuniary interest therein.</w:t>
      </w:r>
    </w:p>
    <w:p>
      <w:pPr>
        <w:spacing w:after="0" w:line="26" w:lineRule="exact"/>
        <w:rPr>
          <w:rFonts w:ascii="Arial" w:cs="Arial" w:eastAsia="Arial" w:hAnsi="Arial"/>
          <w:sz w:val="15"/>
          <w:szCs w:val="15"/>
          <w:color w:val="008000"/>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30,295,093 shares of Class B Common Stock of the Issuer ("Class B Shares") held by InCube Labs, L.L.C., 3,372,436 Class B Shares held by InCube Ventures II, L.P. and 97,989 Class B Shares held by Rani Investment Corp. The Reporting Person disclaims beneficial ownership of these securities except to the extent of his pecuniary interest therein.</w:t>
      </w:r>
    </w:p>
    <w:p>
      <w:pPr>
        <w:spacing w:after="0" w:line="35" w:lineRule="exact"/>
        <w:rPr>
          <w:rFonts w:ascii="Arial" w:cs="Arial" w:eastAsia="Arial" w:hAnsi="Arial"/>
          <w:sz w:val="15"/>
          <w:szCs w:val="15"/>
          <w:color w:val="008000"/>
        </w:rPr>
      </w:pPr>
    </w:p>
    <w:p>
      <w:pPr>
        <w:ind w:left="40" w:right="140" w:firstLine="5"/>
        <w:spacing w:after="0" w:line="260"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Common LLC Units of Rani Therapeutics, LLC, a direct subsidiary of the Issuer. The Common LLC Units are redeemable at the election of the Reporting Person at any time for newly-issued Class A Shares on a one-for-one basis or, if mutually agreed with the Issuer, a cash payment equal to the volume weighted average market price of one Class A Share for each Common LLC Unit redeemed (subject to customary adjustments, including for stock splits, stock dividends and reclassifications). However, the Issuer may elect to effect a direct exchange of such Class A Shares (or such cash, if mutually agreed) for such Common LLC Units.</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Josh Seidenfeld,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 Mir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Imran</w:t>
            </w:r>
          </w:p>
        </w:tc>
        <w:tc>
          <w:tcPr>
            <w:tcW w:w="1460" w:type="dxa"/>
            <w:vAlign w:val="bottom"/>
            <w:tcBorders>
              <w:top w:val="single" w:sz="8" w:color="auto"/>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85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Mir Imran</w:t>
      </w:r>
    </w:p>
    <w:p>
      <w:pPr>
        <w:spacing w:after="0" w:line="238" w:lineRule="auto"/>
        <w:rPr>
          <w:sz w:val="20"/>
          <w:szCs w:val="20"/>
          <w:color w:val="auto"/>
        </w:rPr>
      </w:pPr>
      <w:r>
        <w:rPr>
          <w:rFonts w:ascii="Courier New" w:cs="Courier New" w:eastAsia="Courier New" w:hAnsi="Courier New"/>
          <w:sz w:val="20"/>
          <w:szCs w:val="20"/>
          <w:color w:val="auto"/>
        </w:rPr>
        <w:t>Mir Imran</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031686"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2021-07-29T20:55:40Z</dcterms:created>
  <dcterms:modified xsi:type="dcterms:W3CDTF">2021-07-29T20:55:40Z</dcterms:modified>
</cp:coreProperties>
</file>