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740"/>
        <w:spacing w:after="0"/>
        <w:rPr>
          <w:sz w:val="20"/>
          <w:szCs w:val="20"/>
          <w:color w:val="auto"/>
        </w:rPr>
      </w:pPr>
      <w:r>
        <w:rPr>
          <w:rFonts w:ascii="Arial" w:cs="Arial" w:eastAsia="Arial" w:hAnsi="Arial"/>
          <w:sz w:val="20"/>
          <w:szCs w:val="20"/>
          <w:b w:val="1"/>
          <w:bCs w:val="1"/>
          <w:color w:val="auto"/>
        </w:rPr>
        <w:t>UNITED STATES</w:t>
      </w:r>
    </w:p>
    <w:p>
      <w:pPr>
        <w:spacing w:after="0" w:line="27" w:lineRule="exact"/>
        <w:rPr>
          <w:sz w:val="24"/>
          <w:szCs w:val="24"/>
          <w:color w:val="auto"/>
        </w:rPr>
      </w:pPr>
    </w:p>
    <w:p>
      <w:pPr>
        <w:jc w:val="center"/>
        <w:ind w:left="740"/>
        <w:spacing w:after="0"/>
        <w:rPr>
          <w:sz w:val="20"/>
          <w:szCs w:val="20"/>
          <w:color w:val="auto"/>
        </w:rPr>
      </w:pPr>
      <w:r>
        <w:rPr>
          <w:rFonts w:ascii="Arial" w:cs="Arial" w:eastAsia="Arial" w:hAnsi="Arial"/>
          <w:sz w:val="20"/>
          <w:szCs w:val="20"/>
          <w:b w:val="1"/>
          <w:bCs w:val="1"/>
          <w:color w:val="auto"/>
        </w:rPr>
        <w:t>SECURITIES AND EXCHANGE COMMISSION</w:t>
      </w:r>
    </w:p>
    <w:p>
      <w:pPr>
        <w:spacing w:after="0" w:line="27" w:lineRule="exact"/>
        <w:rPr>
          <w:sz w:val="24"/>
          <w:szCs w:val="24"/>
          <w:color w:val="auto"/>
        </w:rPr>
      </w:pPr>
    </w:p>
    <w:p>
      <w:pPr>
        <w:jc w:val="center"/>
        <w:ind w:left="740"/>
        <w:spacing w:after="0"/>
        <w:rPr>
          <w:sz w:val="20"/>
          <w:szCs w:val="20"/>
          <w:color w:val="auto"/>
        </w:rPr>
      </w:pPr>
      <w:r>
        <w:rPr>
          <w:rFonts w:ascii="Arial" w:cs="Arial" w:eastAsia="Arial" w:hAnsi="Arial"/>
          <w:sz w:val="20"/>
          <w:szCs w:val="20"/>
          <w:b w:val="1"/>
          <w:bCs w:val="1"/>
          <w:color w:val="auto"/>
        </w:rPr>
        <w:t>WASHINGTON, DC 20549</w:t>
      </w:r>
    </w:p>
    <w:p>
      <w:pPr>
        <w:spacing w:after="0" w:line="283" w:lineRule="exact"/>
        <w:rPr>
          <w:sz w:val="24"/>
          <w:szCs w:val="24"/>
          <w:color w:val="auto"/>
        </w:rPr>
      </w:pPr>
    </w:p>
    <w:p>
      <w:pPr>
        <w:jc w:val="center"/>
        <w:ind w:left="740"/>
        <w:spacing w:after="0"/>
        <w:rPr>
          <w:sz w:val="20"/>
          <w:szCs w:val="20"/>
          <w:color w:val="auto"/>
        </w:rPr>
      </w:pPr>
      <w:r>
        <w:rPr>
          <w:rFonts w:ascii="Arial" w:cs="Arial" w:eastAsia="Arial" w:hAnsi="Arial"/>
          <w:sz w:val="20"/>
          <w:szCs w:val="20"/>
          <w:b w:val="1"/>
          <w:bCs w:val="1"/>
          <w:color w:val="auto"/>
        </w:rPr>
        <w:t>FORM 12b-25</w:t>
      </w:r>
    </w:p>
    <w:p>
      <w:pPr>
        <w:spacing w:after="0" w:line="283"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Commission File Number: 001-40672</w:t>
      </w:r>
    </w:p>
    <w:p>
      <w:pPr>
        <w:spacing w:after="0" w:line="200" w:lineRule="exact"/>
        <w:rPr>
          <w:sz w:val="24"/>
          <w:szCs w:val="24"/>
          <w:color w:val="auto"/>
        </w:rPr>
      </w:pPr>
    </w:p>
    <w:p>
      <w:pPr>
        <w:spacing w:after="0" w:line="340" w:lineRule="exact"/>
        <w:rPr>
          <w:sz w:val="24"/>
          <w:szCs w:val="24"/>
          <w:color w:val="auto"/>
        </w:rPr>
      </w:pPr>
    </w:p>
    <w:p>
      <w:pPr>
        <w:ind w:left="4440"/>
        <w:spacing w:after="0"/>
        <w:rPr>
          <w:sz w:val="20"/>
          <w:szCs w:val="20"/>
          <w:color w:val="auto"/>
        </w:rPr>
      </w:pPr>
      <w:r>
        <w:rPr>
          <w:rFonts w:ascii="Arial" w:cs="Arial" w:eastAsia="Arial" w:hAnsi="Arial"/>
          <w:sz w:val="20"/>
          <w:szCs w:val="20"/>
          <w:b w:val="1"/>
          <w:bCs w:val="1"/>
          <w:color w:val="auto"/>
        </w:rPr>
        <w:t>NOTIFICATION OF LATE FILING</w:t>
      </w:r>
    </w:p>
    <w:p>
      <w:pPr>
        <w:spacing w:after="0" w:line="265" w:lineRule="exact"/>
        <w:rPr>
          <w:sz w:val="24"/>
          <w:szCs w:val="24"/>
          <w:color w:val="auto"/>
        </w:rPr>
      </w:pPr>
    </w:p>
    <w:p>
      <w:pPr>
        <w:spacing w:after="0"/>
        <w:tabs>
          <w:tab w:leader="none" w:pos="1200" w:val="left"/>
          <w:tab w:leader="none" w:pos="2280" w:val="left"/>
          <w:tab w:leader="none" w:pos="3360" w:val="left"/>
          <w:tab w:leader="none" w:pos="4480" w:val="left"/>
          <w:tab w:leader="none" w:pos="5580" w:val="left"/>
          <w:tab w:leader="none" w:pos="6620" w:val="left"/>
          <w:tab w:leader="none" w:pos="8240" w:val="left"/>
        </w:tabs>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Form 10-K</w:t>
      </w:r>
      <w:r>
        <w:rPr>
          <w:sz w:val="20"/>
          <w:szCs w:val="20"/>
          <w:color w:val="auto"/>
        </w:rPr>
        <w:tab/>
      </w: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Form 11-K</w:t>
      </w:r>
      <w:r>
        <w:rPr>
          <w:sz w:val="20"/>
          <w:szCs w:val="20"/>
          <w:color w:val="auto"/>
        </w:rPr>
        <w:tab/>
      </w:r>
      <w:r>
        <w:rPr>
          <w:rFonts w:ascii="Arial" w:cs="Arial" w:eastAsia="Arial" w:hAnsi="Arial"/>
          <w:sz w:val="18"/>
          <w:szCs w:val="18"/>
          <w:color w:val="auto"/>
        </w:rPr>
        <w:t>Form 10-Q</w:t>
      </w:r>
      <w:r>
        <w:rPr>
          <w:sz w:val="20"/>
          <w:szCs w:val="20"/>
          <w:color w:val="auto"/>
        </w:rPr>
        <w:tab/>
      </w:r>
      <w:r>
        <w:rPr>
          <w:rFonts w:ascii="Arial" w:cs="Arial" w:eastAsia="Arial" w:hAnsi="Arial"/>
          <w:sz w:val="18"/>
          <w:szCs w:val="18"/>
          <w:color w:val="auto"/>
        </w:rPr>
        <w:t>Form 10-D</w:t>
        <w:tab/>
        <w:t>Form N-SAR</w:t>
      </w:r>
      <w:r>
        <w:rPr>
          <w:sz w:val="20"/>
          <w:szCs w:val="20"/>
          <w:color w:val="auto"/>
        </w:rPr>
        <w:tab/>
      </w:r>
      <w:r>
        <w:rPr>
          <w:rFonts w:ascii="Arial" w:cs="Arial" w:eastAsia="Arial" w:hAnsi="Arial"/>
          <w:sz w:val="16"/>
          <w:szCs w:val="16"/>
          <w:color w:val="auto"/>
        </w:rPr>
        <w:t>Form N-CSR</w:t>
      </w:r>
    </w:p>
    <w:p>
      <w:pPr>
        <w:spacing w:after="0" w:line="131" w:lineRule="exact"/>
        <w:rPr>
          <w:sz w:val="24"/>
          <w:szCs w:val="24"/>
          <w:color w:val="auto"/>
        </w:rPr>
      </w:pPr>
    </w:p>
    <w:p>
      <w:pPr>
        <w:ind w:left="1140"/>
        <w:spacing w:after="0"/>
        <w:tabs>
          <w:tab w:leader="none" w:pos="256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5"/>
          <w:szCs w:val="15"/>
          <w:color w:val="auto"/>
        </w:rPr>
        <w:t>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-10160</wp:posOffset>
            </wp:positionV>
            <wp:extent cx="1218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pacing w:after="0" w:line="111"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Transition Report on Form 10-K</w:t>
      </w:r>
    </w:p>
    <w:p>
      <w:pPr>
        <w:spacing w:after="0" w:line="23"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Transition Report on Form 20-F</w:t>
      </w:r>
    </w:p>
    <w:p>
      <w:pPr>
        <w:spacing w:after="0" w:line="23"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Transition Report on Form 11-K</w:t>
      </w:r>
    </w:p>
    <w:p>
      <w:pPr>
        <w:spacing w:after="0" w:line="23"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Transition Report on Form 10-Q</w:t>
      </w:r>
    </w:p>
    <w:p>
      <w:pPr>
        <w:spacing w:after="0" w:line="23"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Transition Report on Form N-SAR</w:t>
      </w:r>
    </w:p>
    <w:p>
      <w:pPr>
        <w:spacing w:after="0" w:line="23"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321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32131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PART I -- REGISTRANT INFORMATION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063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4" w:lineRule="exact"/>
        <w:rPr>
          <w:sz w:val="24"/>
          <w:szCs w:val="24"/>
          <w:color w:val="auto"/>
        </w:rPr>
      </w:pPr>
    </w:p>
    <w:p>
      <w:pPr>
        <w:ind w:left="60"/>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237490</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67" w:lineRule="exact"/>
        <w:rPr>
          <w:sz w:val="24"/>
          <w:szCs w:val="24"/>
          <w:color w:val="auto"/>
        </w:rPr>
      </w:pPr>
    </w:p>
    <w:p>
      <w:pPr>
        <w:ind w:left="60"/>
        <w:spacing w:after="0"/>
        <w:rPr>
          <w:sz w:val="20"/>
          <w:szCs w:val="20"/>
          <w:color w:val="auto"/>
        </w:rPr>
      </w:pPr>
      <w:r>
        <w:rPr>
          <w:rFonts w:ascii="Arial" w:cs="Arial" w:eastAsia="Arial" w:hAnsi="Arial"/>
          <w:sz w:val="18"/>
          <w:szCs w:val="18"/>
          <w:color w:val="auto"/>
        </w:rPr>
        <w:t>Former Name if Applicable</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2051 Ringwood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063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4" w:lineRule="exact"/>
        <w:rPr>
          <w:sz w:val="24"/>
          <w:szCs w:val="24"/>
          <w:color w:val="auto"/>
        </w:rPr>
      </w:pPr>
    </w:p>
    <w:p>
      <w:pPr>
        <w:ind w:left="6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San Jose, California 95131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063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City, State and Zip Code</w:t>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56"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ind w:left="1600" w:hanging="361"/>
        <w:spacing w:after="0"/>
        <w:tabs>
          <w:tab w:leader="none" w:pos="1600" w:val="left"/>
        </w:tabs>
        <w:numPr>
          <w:ilvl w:val="0"/>
          <w:numId w:val="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919480</wp:posOffset>
            </wp:positionH>
            <wp:positionV relativeFrom="page">
              <wp:posOffset>88900</wp:posOffset>
            </wp:positionV>
            <wp:extent cx="8255" cy="120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200150"/>
                    </a:xfrm>
                    <a:prstGeom prst="rect">
                      <a:avLst/>
                    </a:prstGeom>
                    <a:noFill/>
                  </pic:spPr>
                </pic:pic>
              </a:graphicData>
            </a:graphic>
          </wp:anchor>
        </w:drawing>
        <w:t>The reasons described in reasonable detail in Part III of this form could not be eliminated without unreasonable effort or expense;</w:t>
      </w:r>
    </w:p>
    <w:p>
      <w:pPr>
        <w:spacing w:after="0" w:line="288" w:lineRule="exact"/>
        <w:rPr>
          <w:rFonts w:ascii="Arial" w:cs="Arial" w:eastAsia="Arial" w:hAnsi="Arial"/>
          <w:sz w:val="16"/>
          <w:szCs w:val="16"/>
          <w:color w:val="auto"/>
        </w:rPr>
      </w:pPr>
    </w:p>
    <w:p>
      <w:pPr>
        <w:ind w:left="1540" w:right="140" w:hanging="301"/>
        <w:spacing w:after="0" w:line="275" w:lineRule="auto"/>
        <w:tabs>
          <w:tab w:leader="none" w:pos="159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12" w:lineRule="exact"/>
        <w:rPr>
          <w:rFonts w:ascii="Arial" w:cs="Arial" w:eastAsia="Arial" w:hAnsi="Arial"/>
          <w:sz w:val="18"/>
          <w:szCs w:val="18"/>
          <w:color w:val="auto"/>
        </w:rPr>
      </w:pPr>
    </w:p>
    <w:p>
      <w:pPr>
        <w:ind w:left="1600" w:hanging="361"/>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State below in reasonable detail why the Forms 10-K, 20-F, 11-K, 10-Q, 10-D, N-SAR, N-CSR or the transition report portion thereof could not be filed within the prescribed time period.</w:t>
      </w:r>
    </w:p>
    <w:p>
      <w:pPr>
        <w:spacing w:after="0" w:line="183" w:lineRule="exact"/>
        <w:rPr>
          <w:sz w:val="20"/>
          <w:szCs w:val="20"/>
          <w:color w:val="auto"/>
        </w:rPr>
      </w:pPr>
    </w:p>
    <w:p>
      <w:pPr>
        <w:ind w:right="320"/>
        <w:spacing w:after="0" w:line="303" w:lineRule="auto"/>
        <w:rPr>
          <w:sz w:val="20"/>
          <w:szCs w:val="20"/>
          <w:color w:val="auto"/>
        </w:rPr>
      </w:pPr>
      <w:r>
        <w:rPr>
          <w:rFonts w:ascii="Arial" w:cs="Arial" w:eastAsia="Arial" w:hAnsi="Arial"/>
          <w:sz w:val="17"/>
          <w:szCs w:val="17"/>
          <w:color w:val="auto"/>
        </w:rPr>
        <w:t>Rani Therapeutics Holdings, Inc. (the “Company”) was unable to file its Quarterly Report on Form 10-Q for the quarter ended September 30, 2021 (the “Q3 Form 10-Q”) with the Securities and Exchange Commission (“SEC”) within the prescribed time period. Despite working diligently in an effort to timely file its Q3 Form 10-Q, the Company has been unable to complete all work necessary to timely file its Q3 Form 10-Q.</w:t>
      </w:r>
    </w:p>
    <w:p>
      <w:pPr>
        <w:spacing w:after="0" w:line="16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Company expects to file its Q3 Form 10-Q with the SEC as soon as practicable, and no later than the fifth calendar day following the prescribed due date, in accordance with Rule 12b-25.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OTHER INFORMATION</w:t>
      </w: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and telephone number of person to contact in regard to this notification</w:t>
      </w:r>
    </w:p>
    <w:p>
      <w:pPr>
        <w:spacing w:after="0" w:line="117" w:lineRule="exact"/>
        <w:rPr>
          <w:sz w:val="20"/>
          <w:szCs w:val="20"/>
          <w:color w:val="auto"/>
        </w:rPr>
      </w:pPr>
    </w:p>
    <w:tbl>
      <w:tblPr>
        <w:tblLayout w:type="fixed"/>
        <w:tblInd w:w="540" w:type="dxa"/>
        <w:tblCellMar>
          <w:top w:w="0" w:type="dxa"/>
          <w:left w:w="0" w:type="dxa"/>
          <w:bottom w:w="0" w:type="dxa"/>
          <w:right w:w="0" w:type="dxa"/>
        </w:tblCellMar>
      </w:tblPr>
      <w:tr>
        <w:trPr>
          <w:trHeight w:val="237"/>
        </w:trPr>
        <w:tc>
          <w:tcPr>
            <w:tcW w:w="4340" w:type="dxa"/>
            <w:vAlign w:val="bottom"/>
          </w:tcPr>
          <w:p>
            <w:pPr>
              <w:jc w:val="center"/>
              <w:spacing w:after="0"/>
              <w:rPr>
                <w:sz w:val="20"/>
                <w:szCs w:val="20"/>
                <w:color w:val="auto"/>
              </w:rPr>
            </w:pPr>
            <w:r>
              <w:rPr>
                <w:rFonts w:ascii="Arial" w:cs="Arial" w:eastAsia="Arial" w:hAnsi="Arial"/>
                <w:sz w:val="18"/>
                <w:szCs w:val="18"/>
                <w:color w:val="auto"/>
                <w:w w:val="91"/>
              </w:rPr>
              <w:t>Svai Sanford</w:t>
            </w:r>
          </w:p>
        </w:tc>
        <w:tc>
          <w:tcPr>
            <w:tcW w:w="2400" w:type="dxa"/>
            <w:vAlign w:val="bottom"/>
            <w:gridSpan w:val="2"/>
          </w:tcPr>
          <w:p>
            <w:pPr>
              <w:jc w:val="right"/>
              <w:ind w:right="890"/>
              <w:spacing w:after="0"/>
              <w:rPr>
                <w:sz w:val="20"/>
                <w:szCs w:val="20"/>
                <w:color w:val="auto"/>
              </w:rPr>
            </w:pPr>
            <w:r>
              <w:rPr>
                <w:rFonts w:ascii="Arial" w:cs="Arial" w:eastAsia="Arial" w:hAnsi="Arial"/>
                <w:sz w:val="18"/>
                <w:szCs w:val="18"/>
                <w:color w:val="auto"/>
              </w:rPr>
              <w:t>408</w:t>
            </w:r>
          </w:p>
        </w:tc>
        <w:tc>
          <w:tcPr>
            <w:tcW w:w="3500" w:type="dxa"/>
            <w:vAlign w:val="bottom"/>
            <w:gridSpan w:val="2"/>
          </w:tcPr>
          <w:p>
            <w:pPr>
              <w:jc w:val="right"/>
              <w:ind w:right="1230"/>
              <w:spacing w:after="0"/>
              <w:rPr>
                <w:sz w:val="20"/>
                <w:szCs w:val="20"/>
                <w:color w:val="auto"/>
              </w:rPr>
            </w:pPr>
            <w:r>
              <w:rPr>
                <w:rFonts w:ascii="Arial" w:cs="Arial" w:eastAsia="Arial" w:hAnsi="Arial"/>
                <w:sz w:val="18"/>
                <w:szCs w:val="18"/>
                <w:color w:val="auto"/>
              </w:rPr>
              <w:t>457-3700</w:t>
            </w:r>
          </w:p>
        </w:tc>
      </w:tr>
      <w:tr>
        <w:trPr>
          <w:trHeight w:val="230"/>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00" w:type="dxa"/>
            <w:vAlign w:val="bottom"/>
          </w:tcPr>
          <w:p>
            <w:pPr>
              <w:spacing w:after="0"/>
              <w:rPr>
                <w:sz w:val="20"/>
                <w:szCs w:val="20"/>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18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93" w:lineRule="exact"/>
        <w:rPr>
          <w:sz w:val="20"/>
          <w:szCs w:val="20"/>
          <w:color w:val="auto"/>
        </w:rPr>
      </w:pPr>
    </w:p>
    <w:p>
      <w:pPr>
        <w:jc w:val="both"/>
        <w:ind w:left="380" w:hanging="372"/>
        <w:spacing w:after="0" w:line="266" w:lineRule="auto"/>
        <w:tabs>
          <w:tab w:leader="none" w:pos="366"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sz w:val="20"/>
          <w:szCs w:val="20"/>
          <w:color w:val="auto"/>
        </w:rPr>
      </w:pPr>
    </w:p>
    <w:p>
      <w:pPr>
        <w:ind w:left="7500"/>
        <w:spacing w:after="0"/>
        <w:tabs>
          <w:tab w:leader="none" w:pos="82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194310</wp:posOffset>
            </wp:positionV>
            <wp:extent cx="6892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80" w:hanging="372"/>
        <w:spacing w:after="0" w:line="266" w:lineRule="auto"/>
        <w:tabs>
          <w:tab w:leader="none" w:pos="379"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ind w:left="7500"/>
        <w:spacing w:after="0"/>
        <w:tabs>
          <w:tab w:leader="none" w:pos="8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30" w:lineRule="exact"/>
        <w:rPr>
          <w:sz w:val="20"/>
          <w:szCs w:val="20"/>
          <w:color w:val="auto"/>
        </w:rPr>
      </w:pPr>
    </w:p>
    <w:p>
      <w:pPr>
        <w:ind w:left="380" w:right="520"/>
        <w:spacing w:after="0" w:line="293"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288290</wp:posOffset>
            </wp:positionV>
            <wp:extent cx="6892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23495</wp:posOffset>
            </wp:positionV>
            <wp:extent cx="4183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45" w:lineRule="exact"/>
        <w:rPr>
          <w:sz w:val="20"/>
          <w:szCs w:val="20"/>
          <w:color w:val="auto"/>
        </w:rPr>
      </w:pPr>
    </w:p>
    <w:p>
      <w:pPr>
        <w:ind w:left="100"/>
        <w:spacing w:after="0"/>
        <w:tabs>
          <w:tab w:leader="none" w:pos="860" w:val="left"/>
          <w:tab w:leader="none" w:pos="526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15,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24130</wp:posOffset>
            </wp:positionV>
            <wp:extent cx="6643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4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Svai Sanford</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2021-11-16T05:18:16Z</dcterms:created>
  <dcterms:modified xsi:type="dcterms:W3CDTF">2021-11-16T05:18:16Z</dcterms:modified>
</cp:coreProperties>
</file>