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ind w:left="3980"/>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Rani Therapeutics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200" w:type="dxa"/>
        <w:tblCellMar>
          <w:top w:w="0" w:type="dxa"/>
          <w:left w:w="0" w:type="dxa"/>
          <w:bottom w:w="0" w:type="dxa"/>
          <w:right w:w="0" w:type="dxa"/>
        </w:tblCellMar>
      </w:tblPr>
      <w:tr>
        <w:trPr>
          <w:trHeight w:val="222"/>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001-40672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86-3114789</w:t>
            </w:r>
          </w:p>
        </w:tc>
      </w:tr>
      <w:tr>
        <w:trPr>
          <w:trHeight w:val="149"/>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80" w:type="dxa"/>
            <w:vAlign w:val="bottom"/>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8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2051 Ringwood Avenue</w:t>
            </w:r>
          </w:p>
        </w:tc>
        <w:tc>
          <w:tcPr>
            <w:tcW w:w="3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2940" w:type="dxa"/>
            <w:vAlign w:val="bottom"/>
          </w:tcPr>
          <w:p>
            <w:pPr>
              <w:jc w:val="center"/>
              <w:ind w:right="641"/>
              <w:spacing w:after="0"/>
              <w:rPr>
                <w:sz w:val="20"/>
                <w:szCs w:val="20"/>
                <w:color w:val="auto"/>
              </w:rPr>
            </w:pPr>
            <w:r>
              <w:rPr>
                <w:rFonts w:ascii="Times New Roman" w:cs="Times New Roman" w:eastAsia="Times New Roman" w:hAnsi="Times New Roman"/>
                <w:sz w:val="18"/>
                <w:szCs w:val="18"/>
                <w:b w:val="1"/>
                <w:bCs w:val="1"/>
                <w:color w:val="auto"/>
                <w:w w:val="99"/>
              </w:rPr>
              <w:t>San Jose, California</w:t>
            </w:r>
          </w:p>
        </w:tc>
        <w:tc>
          <w:tcPr>
            <w:tcW w:w="328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95131</w:t>
            </w:r>
          </w:p>
        </w:tc>
      </w:tr>
      <w:tr>
        <w:trPr>
          <w:trHeight w:val="178"/>
        </w:trPr>
        <w:tc>
          <w:tcPr>
            <w:tcW w:w="2940" w:type="dxa"/>
            <w:vAlign w:val="bottom"/>
          </w:tcPr>
          <w:p>
            <w:pPr>
              <w:jc w:val="center"/>
              <w:ind w:right="6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8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(408) 457-3700</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4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4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12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RANI</w:t>
            </w:r>
          </w:p>
        </w:tc>
        <w:tc>
          <w:tcPr>
            <w:tcW w:w="120" w:type="dxa"/>
            <w:vAlign w:val="bottom"/>
          </w:tcPr>
          <w:p>
            <w:pPr>
              <w:spacing w:after="0"/>
              <w:rPr>
                <w:sz w:val="19"/>
                <w:szCs w:val="19"/>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April 24, 2025, Laureen DeBuono notified the Board of Directors (“Board”) of Rani Therapeutics Holdings, Inc. (the “Company”) that she has decided to retire from the Board effective immediately. Ms. DeBuono 's decision was not the result of any disagreement with the Company on any matter relating to the Company's operations, policies or practices. At the time of her resignation, Ms. DeBuono served as a member of the Audit Committee and Compensation Committee of the Board. Following Ms. DeBuono’s retirement from the Board, the Board reconstituted the committees of the Board as follows:</w:t>
      </w:r>
    </w:p>
    <w:p>
      <w:pPr>
        <w:spacing w:after="0" w:line="179" w:lineRule="exact"/>
        <w:rPr>
          <w:sz w:val="20"/>
          <w:szCs w:val="20"/>
          <w:color w:val="auto"/>
        </w:rPr>
      </w:pPr>
    </w:p>
    <w:p>
      <w:pPr>
        <w:ind w:left="36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Audit Committee</w:t>
      </w:r>
      <w:r>
        <w:rPr>
          <w:sz w:val="20"/>
          <w:szCs w:val="20"/>
          <w:color w:val="auto"/>
        </w:rPr>
        <w:tab/>
      </w:r>
      <w:r>
        <w:rPr>
          <w:rFonts w:ascii="Times New Roman" w:cs="Times New Roman" w:eastAsia="Times New Roman" w:hAnsi="Times New Roman"/>
          <w:sz w:val="17"/>
          <w:szCs w:val="17"/>
          <w:color w:val="auto"/>
        </w:rPr>
        <w:t>Lisa Rometty (Chair)</w:t>
      </w:r>
    </w:p>
    <w:p>
      <w:pPr>
        <w:spacing w:after="0" w:line="31"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Jean-Luc Butel</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Maulik Nanavaty</w:t>
      </w:r>
    </w:p>
    <w:p>
      <w:pPr>
        <w:spacing w:after="0" w:line="203" w:lineRule="exact"/>
        <w:rPr>
          <w:sz w:val="20"/>
          <w:szCs w:val="20"/>
          <w:color w:val="auto"/>
        </w:rPr>
      </w:pPr>
    </w:p>
    <w:p>
      <w:pPr>
        <w:jc w:val="center"/>
        <w:ind w:right="6540"/>
        <w:spacing w:after="0"/>
        <w:tabs>
          <w:tab w:leader="none" w:pos="120" w:val="left"/>
        </w:tabs>
        <w:rPr>
          <w:sz w:val="20"/>
          <w:szCs w:val="20"/>
          <w:color w:val="auto"/>
        </w:rPr>
      </w:pPr>
      <w:r>
        <w:rPr>
          <w:rFonts w:ascii="Times New Roman" w:cs="Times New Roman" w:eastAsia="Times New Roman" w:hAnsi="Times New Roman"/>
          <w:sz w:val="18"/>
          <w:szCs w:val="18"/>
          <w:b w:val="1"/>
          <w:bCs w:val="1"/>
          <w:color w:val="auto"/>
        </w:rPr>
        <w:t>Compensation Committee</w:t>
      </w:r>
      <w:r>
        <w:rPr>
          <w:sz w:val="20"/>
          <w:szCs w:val="20"/>
          <w:color w:val="auto"/>
        </w:rPr>
        <w:tab/>
      </w:r>
      <w:r>
        <w:rPr>
          <w:rFonts w:ascii="Times New Roman" w:cs="Times New Roman" w:eastAsia="Times New Roman" w:hAnsi="Times New Roman"/>
          <w:sz w:val="17"/>
          <w:szCs w:val="17"/>
          <w:color w:val="auto"/>
        </w:rPr>
        <w:t>Maulik Nanavaty (Chair)</w:t>
      </w:r>
    </w:p>
    <w:p>
      <w:pPr>
        <w:spacing w:after="0" w:line="31" w:lineRule="exact"/>
        <w:rPr>
          <w:sz w:val="20"/>
          <w:szCs w:val="20"/>
          <w:color w:val="auto"/>
        </w:rPr>
      </w:pPr>
    </w:p>
    <w:p>
      <w:pPr>
        <w:jc w:val="center"/>
        <w:ind w:right="6460"/>
        <w:spacing w:after="0"/>
        <w:rPr>
          <w:sz w:val="20"/>
          <w:szCs w:val="20"/>
          <w:color w:val="auto"/>
        </w:rPr>
      </w:pPr>
      <w:r>
        <w:rPr>
          <w:rFonts w:ascii="Times New Roman" w:cs="Times New Roman" w:eastAsia="Times New Roman" w:hAnsi="Times New Roman"/>
          <w:sz w:val="18"/>
          <w:szCs w:val="18"/>
          <w:color w:val="auto"/>
        </w:rPr>
        <w:t>Dennis Ausiello</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 xml:space="preserve">Nominating and Corporate </w:t>
      </w:r>
      <w:r>
        <w:rPr>
          <w:rFonts w:ascii="Times New Roman" w:cs="Times New Roman" w:eastAsia="Times New Roman" w:hAnsi="Times New Roman"/>
          <w:sz w:val="18"/>
          <w:szCs w:val="18"/>
          <w:color w:val="auto"/>
        </w:rPr>
        <w:t>Jean-Luc Butel (Chair)</w:t>
      </w:r>
    </w:p>
    <w:p>
      <w:pPr>
        <w:spacing w:after="0" w:line="31" w:lineRule="exact"/>
        <w:rPr>
          <w:sz w:val="20"/>
          <w:szCs w:val="20"/>
          <w:color w:val="auto"/>
        </w:rPr>
      </w:pPr>
    </w:p>
    <w:p>
      <w:pPr>
        <w:ind w:left="360"/>
        <w:spacing w:after="0"/>
        <w:tabs>
          <w:tab w:leader="none" w:pos="2860" w:val="left"/>
        </w:tabs>
        <w:rPr>
          <w:sz w:val="20"/>
          <w:szCs w:val="20"/>
          <w:color w:val="auto"/>
        </w:rPr>
      </w:pPr>
      <w:r>
        <w:rPr>
          <w:rFonts w:ascii="Times New Roman" w:cs="Times New Roman" w:eastAsia="Times New Roman" w:hAnsi="Times New Roman"/>
          <w:sz w:val="18"/>
          <w:szCs w:val="18"/>
          <w:b w:val="1"/>
          <w:bCs w:val="1"/>
          <w:color w:val="auto"/>
        </w:rPr>
        <w:t>Governance Committee</w:t>
      </w:r>
      <w:r>
        <w:rPr>
          <w:sz w:val="20"/>
          <w:szCs w:val="20"/>
          <w:color w:val="auto"/>
        </w:rPr>
        <w:tab/>
      </w:r>
      <w:r>
        <w:rPr>
          <w:rFonts w:ascii="Times New Roman" w:cs="Times New Roman" w:eastAsia="Times New Roman" w:hAnsi="Times New Roman"/>
          <w:sz w:val="18"/>
          <w:szCs w:val="18"/>
          <w:color w:val="auto"/>
        </w:rPr>
        <w:t>Dennis Ausiello</w:t>
      </w:r>
    </w:p>
    <w:p>
      <w:pPr>
        <w:spacing w:after="0" w:line="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Lisa Rometty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40" w:type="dxa"/>
            <w:vAlign w:val="bottom"/>
          </w:tcPr>
          <w:p>
            <w:pPr>
              <w:spacing w:after="0"/>
              <w:rPr>
                <w:sz w:val="18"/>
                <w:szCs w:val="18"/>
                <w:color w:val="auto"/>
              </w:rPr>
            </w:pPr>
          </w:p>
        </w:tc>
        <w:tc>
          <w:tcPr>
            <w:tcW w:w="10200" w:type="dxa"/>
            <w:vAlign w:val="bottom"/>
          </w:tcPr>
          <w:p>
            <w:pPr>
              <w:spacing w:after="0"/>
              <w:rPr>
                <w:sz w:val="18"/>
                <w:szCs w:val="18"/>
                <w:color w:val="auto"/>
              </w:rPr>
            </w:pPr>
          </w:p>
        </w:tc>
      </w:tr>
      <w:tr>
        <w:trPr>
          <w:trHeight w:val="238"/>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40" w:type="dxa"/>
            <w:vAlign w:val="bottom"/>
          </w:tcPr>
          <w:p>
            <w:pPr>
              <w:spacing w:after="0"/>
              <w:rPr>
                <w:sz w:val="20"/>
                <w:szCs w:val="20"/>
                <w:color w:val="auto"/>
              </w:rPr>
            </w:pPr>
          </w:p>
        </w:tc>
        <w:tc>
          <w:tcPr>
            <w:tcW w:w="10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228"/>
        </w:trPr>
        <w:tc>
          <w:tcPr>
            <w:tcW w:w="80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w w:val="96"/>
              </w:rPr>
              <w:t>104</w:t>
            </w:r>
          </w:p>
        </w:tc>
        <w:tc>
          <w:tcPr>
            <w:tcW w:w="240" w:type="dxa"/>
            <w:vAlign w:val="bottom"/>
          </w:tcPr>
          <w:p>
            <w:pPr>
              <w:spacing w:after="0"/>
              <w:rPr>
                <w:sz w:val="19"/>
                <w:szCs w:val="19"/>
                <w:color w:val="auto"/>
              </w:rPr>
            </w:pPr>
          </w:p>
        </w:tc>
        <w:tc>
          <w:tcPr>
            <w:tcW w:w="102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61"/>
        </w:trPr>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Rani Therapeutics Holdings,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30, 2025</w:t>
      </w:r>
      <w:r>
        <w:rPr>
          <w:sz w:val="20"/>
          <w:szCs w:val="20"/>
          <w:color w:val="auto"/>
        </w:rPr>
        <w:tab/>
      </w:r>
      <w:r>
        <w:rPr>
          <w:rFonts w:ascii="Times New Roman" w:cs="Times New Roman" w:eastAsia="Times New Roman" w:hAnsi="Times New Roman"/>
          <w:sz w:val="18"/>
          <w:szCs w:val="18"/>
          <w:color w:val="auto"/>
        </w:rPr>
        <w:t>By:</w:t>
        <w:tab/>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Svai Sanford</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2025-04-30T07:08:33Z</dcterms:created>
  <dcterms:modified xsi:type="dcterms:W3CDTF">2025-04-30T07:08:33Z</dcterms:modified>
</cp:coreProperties>
</file>