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tcBorders>
              <w:bottom w:val="single" w:sz="8" w:color="0000EE"/>
            </w:tcBorders>
            <w:gridSpan w:val="2"/>
          </w:tcPr>
          <w:p>
            <w:pPr>
              <w:spacing w:after="0" w:line="166"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Rani Therapeutics Holdings, Inc.</w:t>
              </w:r>
            </w:hyperlink>
          </w:p>
        </w:tc>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000FF"/>
              </w:rPr>
              <w:t>RANI</w:t>
            </w:r>
            <w:r>
              <w:rPr>
                <w:rFonts w:ascii="Times New Roman" w:cs="Times New Roman" w:eastAsia="Times New Roman" w:hAnsi="Times New Roman"/>
                <w:sz w:val="21"/>
                <w:szCs w:val="21"/>
                <w:color w:val="auto"/>
              </w:rPr>
              <w:t xml:space="preserve"> ]</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20" w:type="dxa"/>
            <w:vAlign w:val="bottom"/>
            <w:gridSpan w:val="2"/>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80" w:type="dxa"/>
            <w:vAlign w:val="bottom"/>
            <w:tcBorders>
              <w:top w:val="single" w:sz="8" w:color="0000EE"/>
              <w:bottom w:val="single" w:sz="8" w:color="0000EE"/>
            </w:tcBorders>
          </w:tcPr>
          <w:p>
            <w:pPr>
              <w:spacing w:after="0" w:line="220"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Partnership</w:t>
              </w:r>
            </w:hyperlink>
          </w:p>
        </w:tc>
        <w:tc>
          <w:tcPr>
            <w:tcW w:w="1020" w:type="dxa"/>
            <w:vAlign w:val="bottom"/>
            <w:tcBorders>
              <w:top w:val="single" w:sz="8" w:color="0000EE"/>
            </w:tcBorders>
          </w:tcPr>
          <w:p>
            <w:pPr>
              <w:spacing w:after="0"/>
              <w:rPr>
                <w:sz w:val="19"/>
                <w:szCs w:val="19"/>
                <w:color w:val="auto"/>
              </w:rPr>
            </w:pPr>
          </w:p>
        </w:tc>
        <w:tc>
          <w:tcPr>
            <w:tcW w:w="820" w:type="dxa"/>
            <w:vAlign w:val="bottom"/>
            <w:tcBorders>
              <w:top w:val="single" w:sz="8" w:color="0000EE"/>
            </w:tcBorders>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gridSpan w:val="3"/>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4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440"/>
              <w:spacing w:after="0"/>
              <w:rPr>
                <w:sz w:val="20"/>
                <w:szCs w:val="20"/>
                <w:color w:val="auto"/>
              </w:rPr>
            </w:pPr>
            <w:r>
              <w:rPr>
                <w:rFonts w:ascii="Arial" w:cs="Arial" w:eastAsia="Arial" w:hAnsi="Arial"/>
                <w:sz w:val="13"/>
                <w:szCs w:val="13"/>
                <w:color w:val="auto"/>
              </w:rPr>
              <w:t>(Middle)</w:t>
            </w:r>
          </w:p>
        </w:tc>
        <w:tc>
          <w:tcPr>
            <w:tcW w:w="29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02/21/2023</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2"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AVENIDA PRESIDENTE RIESCO 5711,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80" w:type="dxa"/>
            <w:vAlign w:val="bottom"/>
            <w:tcBorders>
              <w:top w:val="single" w:sz="8" w:color="2C2C2C"/>
            </w:tcBorders>
            <w:gridSpan w:val="11"/>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tcBorders>
            <w:gridSpan w:val="8"/>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gridSpan w:val="3"/>
          </w:tcPr>
          <w:p>
            <w:pPr>
              <w:ind w:left="420"/>
              <w:spacing w:after="0" w:line="146" w:lineRule="exact"/>
              <w:rPr>
                <w:sz w:val="20"/>
                <w:szCs w:val="20"/>
                <w:color w:val="auto"/>
              </w:rPr>
            </w:pPr>
            <w:r>
              <w:rPr>
                <w:rFonts w:ascii="Arial" w:cs="Arial" w:eastAsia="Arial" w:hAnsi="Arial"/>
                <w:sz w:val="13"/>
                <w:szCs w:val="13"/>
                <w:color w:val="auto"/>
              </w:rPr>
              <w:t>Line)</w:t>
            </w: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88"/>
              </w:rPr>
              <w:t>F3</w:t>
            </w:r>
          </w:p>
        </w:tc>
        <w:tc>
          <w:tcPr>
            <w:tcW w:w="900" w:type="dxa"/>
            <w:vAlign w:val="bottom"/>
          </w:tcPr>
          <w:p>
            <w:pPr>
              <w:spacing w:after="0"/>
              <w:rPr>
                <w:sz w:val="7"/>
                <w:szCs w:val="7"/>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gridSpan w:val="2"/>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0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0"/>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2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20" w:type="dxa"/>
            <w:vAlign w:val="bottom"/>
            <w:gridSpan w:val="5"/>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4"/>
            <w:vMerge w:val="restart"/>
          </w:tcPr>
          <w:p>
            <w:pPr>
              <w:ind w:left="720"/>
              <w:spacing w:after="0"/>
              <w:rPr>
                <w:sz w:val="20"/>
                <w:szCs w:val="20"/>
                <w:color w:val="auto"/>
              </w:rPr>
            </w:pPr>
            <w:r>
              <w:rPr>
                <w:rFonts w:ascii="Times New Roman" w:cs="Times New Roman" w:eastAsia="Times New Roman" w:hAnsi="Times New Roman"/>
                <w:sz w:val="17"/>
                <w:szCs w:val="17"/>
                <w:color w:val="0000FF"/>
              </w:rPr>
              <w:t>02/21/2023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3,080</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5.9415</w:t>
            </w:r>
            <w:r>
              <w:rPr>
                <w:rFonts w:ascii="Times New Roman" w:cs="Times New Roman" w:eastAsia="Times New Roman" w:hAnsi="Times New Roman"/>
                <w:sz w:val="22"/>
                <w:szCs w:val="22"/>
                <w:color w:val="008000"/>
                <w:w w:val="95"/>
                <w:vertAlign w:val="superscript"/>
              </w:rPr>
              <w:t>(1)</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6,754,952</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4"/>
            <w:vMerge w:val="restart"/>
          </w:tcPr>
          <w:p>
            <w:pPr>
              <w:ind w:left="720"/>
              <w:spacing w:after="0"/>
              <w:rPr>
                <w:sz w:val="20"/>
                <w:szCs w:val="20"/>
                <w:color w:val="auto"/>
              </w:rPr>
            </w:pPr>
            <w:r>
              <w:rPr>
                <w:rFonts w:ascii="Times New Roman" w:cs="Times New Roman" w:eastAsia="Times New Roman" w:hAnsi="Times New Roman"/>
                <w:sz w:val="17"/>
                <w:szCs w:val="17"/>
                <w:color w:val="0000FF"/>
              </w:rPr>
              <w:t>02/22/2023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1,000</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6.1</w:t>
            </w:r>
            <w:r>
              <w:rPr>
                <w:rFonts w:ascii="Times New Roman" w:cs="Times New Roman" w:eastAsia="Times New Roman" w:hAnsi="Times New Roman"/>
                <w:sz w:val="22"/>
                <w:szCs w:val="22"/>
                <w:color w:val="008000"/>
                <w:vertAlign w:val="superscript"/>
              </w:rPr>
              <w:t>(2)</w:t>
            </w:r>
          </w:p>
        </w:tc>
        <w:tc>
          <w:tcPr>
            <w:tcW w:w="160" w:type="dxa"/>
            <w:vAlign w:val="bottom"/>
          </w:tcPr>
          <w:p>
            <w:pPr>
              <w:spacing w:after="0"/>
              <w:rPr>
                <w:sz w:val="18"/>
                <w:szCs w:val="18"/>
                <w:color w:val="auto"/>
              </w:rPr>
            </w:pP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6,755,952</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4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660" w:type="dxa"/>
            <w:vAlign w:val="bottom"/>
            <w:tcBorders>
              <w:bottom w:val="single" w:sz="8" w:color="2C2C2C"/>
            </w:tcBorders>
            <w:gridSpan w:val="6"/>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9"/>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 Partnership</w:t>
              </w:r>
            </w:hyperlink>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F3</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-3533140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South Lake One LLC</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26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6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SANTIAGO</w:t>
            </w:r>
          </w:p>
        </w:tc>
        <w:tc>
          <w:tcPr>
            <w:tcW w:w="13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F3</w:t>
            </w:r>
          </w:p>
        </w:tc>
        <w:tc>
          <w:tcPr>
            <w:tcW w:w="1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7550000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26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-1185545</wp:posOffset>
            </wp:positionV>
            <wp:extent cx="2809240" cy="12649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126492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purchased in multiple transactions at prices ranging from $5.85 to $6.00 per share, inclusive. The reporting persons undertake to provide Rani Therapeutics Holdings, Inc., a Delaware corporation (the "Issuer"), any security holder of the Issuer, or the staff of the Securities and Exchange Commission, upon request, full information regarding the number of shares purchased at each separate price within the range set forth in this footnote (1) to this Form 4.</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purchased in multiple transactions, each at $6.10 per share.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South Cone Investments Limited Partnership directly owns 100% of the issued and outstanding membership interest of South Lake One LLC.</w:t>
      </w:r>
    </w:p>
    <w:p>
      <w:pPr>
        <w:sectPr>
          <w:pgSz w:w="11900" w:h="16838" w:orient="portrait"/>
          <w:cols w:equalWidth="0" w:num="1">
            <w:col w:w="10780"/>
          </w:cols>
          <w:pgMar w:left="500" w:top="125" w:right="61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One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6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6661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Management LLC,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3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of South Cone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63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Investments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074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02/23/2023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02/23/2023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12" w:lineRule="exact"/>
        <w:rPr>
          <w:sz w:val="20"/>
          <w:szCs w:val="20"/>
          <w:color w:val="auto"/>
        </w:rPr>
      </w:pPr>
    </w:p>
    <w:p>
      <w:pPr>
        <w:sectPr>
          <w:pgSz w:w="11900" w:h="16838" w:orient="portrait"/>
          <w:cols w:equalWidth="0" w:num="2">
            <w:col w:w="8680" w:space="60"/>
            <w:col w:w="2040"/>
          </w:cols>
          <w:pgMar w:left="500" w:top="125" w:right="61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500" w:top="125" w:right="6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12" Type="http://schemas.openxmlformats.org/officeDocument/2006/relationships/hyperlink" Target="http://www.sec.gov/cgi-bin/browse-edgar?action=getcompany&amp;CIK=0001876412" TargetMode="External"/><Relationship Id="rId13" Type="http://schemas.openxmlformats.org/officeDocument/2006/relationships/hyperlink" Target="http://www.sec.gov/cgi-bin/browse-edgar?action=getcompany&amp;CIK=0001856725" TargetMode="External"/><Relationship Id="rId15" Type="http://schemas.openxmlformats.org/officeDocument/2006/relationships/hyperlink" Target="http://www.sec.gov/cgi-bin/browse-edgar?action=getcompany&amp;CIK=00017942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2023-02-23T14:19:15Z</dcterms:created>
  <dcterms:modified xsi:type="dcterms:W3CDTF">2023-02-23T14:19:15Z</dcterms:modified>
</cp:coreProperties>
</file>