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March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400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8"/>
        </w:trPr>
        <w:tc>
          <w:tcPr>
            <w:tcW w:w="400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8"/>
              </w:rPr>
              <w:t>2051 Ringwood Avenue</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90"/>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5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RANI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79" w:lineRule="exact"/>
        <w:rPr>
          <w:sz w:val="24"/>
          <w:szCs w:val="24"/>
          <w:color w:val="auto"/>
        </w:rPr>
      </w:pPr>
    </w:p>
    <w:p>
      <w:pPr>
        <w:ind w:left="8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1"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March 29, 2022, Rani Therapeutics Holdings, Inc. (the “Company”) issued a press release providing a corporate update and announcing its financial results for the fourth quarter and year ended December 31, 2021. The full text of the press release is furnished as Exhibit 99.1 to this Current Report on Form 8-K and is incorporated herein by reference.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5780" w:type="dxa"/>
            <w:vAlign w:val="bottom"/>
            <w:gridSpan w:val="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March 29, 2022.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spacing w:after="0"/>
        <w:tabs>
          <w:tab w:leader="none" w:pos="5180" w:val="left"/>
          <w:tab w:leader="none" w:pos="5620" w:val="left"/>
        </w:tabs>
        <w:rPr>
          <w:sz w:val="20"/>
          <w:szCs w:val="20"/>
          <w:color w:val="auto"/>
        </w:rPr>
      </w:pPr>
      <w:r>
        <w:rPr>
          <w:rFonts w:ascii="Times New Roman" w:cs="Times New Roman" w:eastAsia="Times New Roman" w:hAnsi="Times New Roman"/>
          <w:sz w:val="18"/>
          <w:szCs w:val="18"/>
          <w:color w:val="auto"/>
        </w:rPr>
        <w:t>Date: March 29,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17145</wp:posOffset>
            </wp:positionV>
            <wp:extent cx="2931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Svai Sanford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173990</wp:posOffset>
            </wp:positionV>
            <wp:extent cx="1594485" cy="814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448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Reports Fourth Quarter and Full Year 2021 Financial Results; Provides Corporate Update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Initiated a Phase 1 clinical trial of RT-102 for the potential treatment of osteoporosis -</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Unveiled the high-capacity RaniPill</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HC, capable of delivering payloads of up to 20 mg -</w:t>
      </w:r>
    </w:p>
    <w:p>
      <w:pPr>
        <w:spacing w:after="0" w:line="226" w:lineRule="exact"/>
        <w:rPr>
          <w:sz w:val="20"/>
          <w:szCs w:val="20"/>
          <w:color w:val="auto"/>
        </w:rPr>
      </w:pPr>
    </w:p>
    <w:p>
      <w:pPr>
        <w:ind w:left="2600" w:hanging="100"/>
        <w:spacing w:after="0"/>
        <w:tabs>
          <w:tab w:leader="none" w:pos="260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Strengthened Board with the appointments of Lyn Baranowski and Lisa Rometty –</w:t>
      </w:r>
    </w:p>
    <w:p>
      <w:pPr>
        <w:spacing w:after="0" w:line="225" w:lineRule="exact"/>
        <w:rPr>
          <w:rFonts w:ascii="Times New Roman" w:cs="Times New Roman" w:eastAsia="Times New Roman" w:hAnsi="Times New Roman"/>
          <w:sz w:val="18"/>
          <w:szCs w:val="18"/>
          <w:i w:val="1"/>
          <w:iCs w:val="1"/>
          <w:color w:val="auto"/>
        </w:rPr>
      </w:pPr>
    </w:p>
    <w:p>
      <w:pPr>
        <w:ind w:left="3660" w:hanging="107"/>
        <w:spacing w:after="0"/>
        <w:tabs>
          <w:tab w:leader="none" w:pos="366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Conference call and webcast today at 4:30 p.m. ET -</w:t>
      </w:r>
    </w:p>
    <w:p>
      <w:pPr>
        <w:spacing w:after="0" w:line="223" w:lineRule="exact"/>
        <w:rPr>
          <w:sz w:val="20"/>
          <w:szCs w:val="20"/>
          <w:color w:val="auto"/>
        </w:rPr>
      </w:pPr>
    </w:p>
    <w:p>
      <w:pPr>
        <w:jc w:val="both"/>
        <w:ind w:right="960"/>
        <w:spacing w:after="0" w:line="268" w:lineRule="auto"/>
        <w:rPr>
          <w:sz w:val="20"/>
          <w:szCs w:val="20"/>
          <w:color w:val="auto"/>
        </w:rPr>
      </w:pPr>
      <w:r>
        <w:rPr>
          <w:rFonts w:ascii="Times New Roman" w:cs="Times New Roman" w:eastAsia="Times New Roman" w:hAnsi="Times New Roman"/>
          <w:sz w:val="18"/>
          <w:szCs w:val="18"/>
          <w:b w:val="1"/>
          <w:bCs w:val="1"/>
          <w:color w:val="auto"/>
        </w:rPr>
        <w:t>SAN JOSE, Calif., March 29, 2022</w:t>
      </w:r>
      <w:r>
        <w:rPr>
          <w:rFonts w:ascii="Times New Roman" w:cs="Times New Roman" w:eastAsia="Times New Roman" w:hAnsi="Times New Roman"/>
          <w:sz w:val="18"/>
          <w:szCs w:val="18"/>
          <w:color w:val="auto"/>
        </w:rPr>
        <w:t>—Rani Therapeutics Holdings, Inc. (“Rani Therapeutics” or “Rani”) (Nasdaq: RANI), a clinical 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biotherapeutics company focused on the oral delivery of biologics, today reported financial results for the fourth quarter and full year ended December 31, 2021 and provided a corporate update.</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year 2021 and the subsequent months that have passed have been a productive period for Rani. We refined and progressed our development pipeline; made strides on RaniPill HC, the high capacity version of our RaniPill platform; bolstered our balance sheet through a successful IPO; and strengthened our board and management with the addition of key personnel,” said Talat Imran, Chief Executive Officer of Rani Therapeutics. “Looking ahead to the rest of 2022, we expect to announce topline results from our Phase 1 trial of RT-102 and initiate an additional Phase 1 trial – the company’s third – in the second half of the year. We also expect to make progress with the RaniPill HC, which adds over 50 potential biologic drug candidates as opportunities for internal development or partnership.”</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Subsequent Highlights</w:t>
      </w:r>
    </w:p>
    <w:p>
      <w:pPr>
        <w:spacing w:after="0" w:line="131" w:lineRule="exact"/>
        <w:rPr>
          <w:sz w:val="20"/>
          <w:szCs w:val="20"/>
          <w:color w:val="auto"/>
        </w:rPr>
      </w:pPr>
    </w:p>
    <w:p>
      <w:pPr>
        <w:ind w:left="960" w:right="280" w:hanging="532"/>
        <w:spacing w:after="0" w:line="259"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Initiated a Phase 1 Clinical Study of RT-102. </w:t>
      </w:r>
      <w:r>
        <w:rPr>
          <w:rFonts w:ascii="Times New Roman" w:cs="Times New Roman" w:eastAsia="Times New Roman" w:hAnsi="Times New Roman"/>
          <w:sz w:val="18"/>
          <w:szCs w:val="18"/>
          <w:color w:val="auto"/>
        </w:rPr>
        <w:t>In March 2022, Rani announced the initiation of a Phase 1 clinical study of RT-102,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RaniPill capsule containing parathyroid hormone for the treatment of osteoporosis, in Australia. The single-center, open label, Phase 1 study is evaluating the pharmacokinetics, safety and tolerability of RT-102 administered in healthy adult women volunteers. Preclinical data of RT-102 demonstrated a pharmacokinetic profile comparable to published data for once-daily PTH injections for the treatment of osteoporosis.</w:t>
      </w:r>
    </w:p>
    <w:p>
      <w:pPr>
        <w:sectPr>
          <w:pgSz w:w="11900" w:h="16838" w:orient="portrait"/>
          <w:cols w:equalWidth="0" w:num="1">
            <w:col w:w="11020"/>
          </w:cols>
          <w:pgMar w:left="440" w:top="117" w:right="439" w:bottom="1440" w:gutter="0" w:footer="0" w:header="0"/>
        </w:sectPr>
      </w:pPr>
    </w:p>
    <w:bookmarkStart w:id="4" w:name="page5"/>
    <w:bookmarkEnd w:id="4"/>
    <w:p>
      <w:pPr>
        <w:ind w:left="960" w:right="80" w:hanging="532"/>
        <w:spacing w:after="0" w:line="26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Unveiled the RaniPill High Capacity (HC). </w:t>
      </w:r>
      <w:r>
        <w:rPr>
          <w:rFonts w:ascii="Times New Roman" w:cs="Times New Roman" w:eastAsia="Times New Roman" w:hAnsi="Times New Roman"/>
          <w:sz w:val="18"/>
          <w:szCs w:val="18"/>
          <w:color w:val="auto"/>
        </w:rPr>
        <w:t>In February 2022, Rani announced the development of the RaniPill HC, an oral device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capable of delivering therapeutic payloads of up to 500%-plus more than the original RaniPill capsule. In preclinical testing in a canine model using an adalimumab payload, the RaniPill HC deployed successfully and yielded a PK profile proportional to historical data obtained with adalimumab delivered via the original RaniPill capsule.</w:t>
      </w:r>
    </w:p>
    <w:p>
      <w:pPr>
        <w:spacing w:after="0" w:line="81" w:lineRule="exact"/>
        <w:rPr>
          <w:rFonts w:ascii="Times New Roman" w:cs="Times New Roman" w:eastAsia="Times New Roman" w:hAnsi="Times New Roman"/>
          <w:sz w:val="18"/>
          <w:szCs w:val="18"/>
          <w:color w:val="auto"/>
        </w:rPr>
      </w:pPr>
    </w:p>
    <w:p>
      <w:pPr>
        <w:ind w:left="960" w:right="40" w:hanging="532"/>
        <w:spacing w:after="0" w:line="28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Completed Preclinical GLP 7-Day Repeat Oral Administration Study. </w:t>
      </w:r>
      <w:r>
        <w:rPr>
          <w:rFonts w:ascii="Times New Roman" w:cs="Times New Roman" w:eastAsia="Times New Roman" w:hAnsi="Times New Roman"/>
          <w:sz w:val="18"/>
          <w:szCs w:val="18"/>
          <w:color w:val="auto"/>
        </w:rPr>
        <w:t>In November 2021, Rani completed a GLP 7-day repeat oral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study evaluating the safety and tolerability of RT-102 in canines. In the study, no safety events were observed.</w:t>
      </w:r>
    </w:p>
    <w:p>
      <w:pPr>
        <w:spacing w:after="0" w:line="60" w:lineRule="exact"/>
        <w:rPr>
          <w:rFonts w:ascii="Times New Roman" w:cs="Times New Roman" w:eastAsia="Times New Roman" w:hAnsi="Times New Roman"/>
          <w:sz w:val="18"/>
          <w:szCs w:val="18"/>
          <w:color w:val="auto"/>
        </w:rPr>
      </w:pPr>
    </w:p>
    <w:p>
      <w:pPr>
        <w:ind w:left="960" w:right="40" w:hanging="532"/>
        <w:spacing w:after="0" w:line="26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Additions to the Board of Directors</w:t>
      </w:r>
      <w:r>
        <w:rPr>
          <w:rFonts w:ascii="Times New Roman" w:cs="Times New Roman" w:eastAsia="Times New Roman" w:hAnsi="Times New Roman"/>
          <w:sz w:val="18"/>
          <w:szCs w:val="18"/>
          <w:color w:val="auto"/>
        </w:rPr>
        <w:t>. In January 2022 and November 2021, Rani strengthened its Board of Directors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appointments of Lisa Rometty and Lyn Baranowski, respectively. Ms. Rometty has more than two decades of global commercialization and product development experience in the biotechnology and healthcare space. Ms. Baranowski is a seasoned biotechnology executive with a diverse set of knowledge around product portfolios and therapeutic areas.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Near-Term Milestones</w:t>
      </w:r>
    </w:p>
    <w:p>
      <w:pPr>
        <w:spacing w:after="0" w:line="135"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Phase 1 RT-102 data readout expected in 2H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an additional Phase 1 clinical study expected in 2H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2021 Financial Results</w:t>
      </w:r>
    </w:p>
    <w:p>
      <w:pPr>
        <w:spacing w:after="0" w:line="131" w:lineRule="exact"/>
        <w:rPr>
          <w:sz w:val="20"/>
          <w:szCs w:val="20"/>
          <w:color w:val="auto"/>
        </w:rPr>
      </w:pPr>
    </w:p>
    <w:p>
      <w:pPr>
        <w:ind w:left="960" w:hanging="532"/>
        <w:spacing w:after="0" w:line="26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as of December 31, 2021 were $117.5 million, compared to $73.1 million as of December 31, 2020. Rani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expects its cash and cash equivalents balance to be sufficient to fund its operating expenses and capital expenditure requirements at least until the end of 2023.</w:t>
      </w:r>
    </w:p>
    <w:p>
      <w:pPr>
        <w:spacing w:after="0" w:line="7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for the three and twelve months ended December 31, 2021 were $7.4 million and</w:t>
      </w:r>
    </w:p>
    <w:p>
      <w:pPr>
        <w:spacing w:after="0" w:line="31" w:lineRule="exact"/>
        <w:rPr>
          <w:rFonts w:ascii="Times New Roman" w:cs="Times New Roman" w:eastAsia="Times New Roman" w:hAnsi="Times New Roman"/>
          <w:sz w:val="18"/>
          <w:szCs w:val="18"/>
          <w:color w:val="auto"/>
        </w:rPr>
      </w:pPr>
    </w:p>
    <w:p>
      <w:pPr>
        <w:ind w:left="96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$26.5 million, respectively, compared to $3.3 million and $12.0 million for the same periods in 2020, respectively. The increases were primarily attributed to higher compensation and benefits due to the increase in headcount, including $8.2 million for the full-year of non-cash equity-based compensation expense; of which $6.2 million was recognized in connection with the company’s IPO and related corporate reorganization in the third quarter of 2021.</w:t>
      </w:r>
    </w:p>
    <w:p>
      <w:pPr>
        <w:sectPr>
          <w:pgSz w:w="11900" w:h="16838" w:orient="portrait"/>
          <w:cols w:equalWidth="0" w:num="1">
            <w:col w:w="10780"/>
          </w:cols>
          <w:pgMar w:left="440" w:top="266" w:right="679" w:bottom="1440" w:gutter="0" w:footer="0" w:header="0"/>
        </w:sectPr>
      </w:pPr>
    </w:p>
    <w:bookmarkStart w:id="5" w:name="page6"/>
    <w:bookmarkEnd w:id="5"/>
    <w:p>
      <w:pPr>
        <w:ind w:left="960" w:hanging="532"/>
        <w:spacing w:after="0" w:line="259"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General and administrative expenses </w:t>
      </w:r>
      <w:r>
        <w:rPr>
          <w:rFonts w:ascii="Times New Roman" w:cs="Times New Roman" w:eastAsia="Times New Roman" w:hAnsi="Times New Roman"/>
          <w:sz w:val="18"/>
          <w:szCs w:val="18"/>
          <w:color w:val="auto"/>
        </w:rPr>
        <w:t>for the three and twelve months ended December 31, 2021 were $5.9 million and $27.8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compared to $1.8 million and $5.0 million for the same periods in 2020, respectively. The increases were primarily attributed to the public company related costs and higher compensation and benefits due to the increase in headcount, including $14.4 million for the full-year of non-cash equity-based compensation expense; of which $10.7 million was recognized in connection with the company’s IPO and related corporate reorganization in the third quarter of 2021.</w:t>
      </w:r>
    </w:p>
    <w:p>
      <w:pPr>
        <w:spacing w:after="0" w:line="84" w:lineRule="exact"/>
        <w:rPr>
          <w:rFonts w:ascii="Times New Roman" w:cs="Times New Roman" w:eastAsia="Times New Roman" w:hAnsi="Times New Roman"/>
          <w:sz w:val="18"/>
          <w:szCs w:val="18"/>
          <w:color w:val="auto"/>
        </w:rPr>
      </w:pPr>
    </w:p>
    <w:p>
      <w:pPr>
        <w:ind w:left="960" w:right="520" w:hanging="532"/>
        <w:spacing w:after="0" w:line="28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three and twelve months ended December 31, 2021 was $13.3 million and $53.1 million, respectively,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$5.8 million and $16.7 million for the same periods in 2020, respectively.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Rani will host a corresponding conference call and live webcast at 1:30 p.m. PT / 4:30 p.m. ET on March 29, 2022 to discuss the results and provide a business update. Individuals interested in listening to the live conference call may do so by dialing (844) 605-7369 for domestic callers, or (929)</w:t>
      </w:r>
    </w:p>
    <w:p>
      <w:pPr>
        <w:spacing w:after="0"/>
        <w:rPr>
          <w:sz w:val="20"/>
          <w:szCs w:val="20"/>
          <w:color w:val="auto"/>
        </w:rPr>
      </w:pPr>
      <w:r>
        <w:rPr>
          <w:rFonts w:ascii="Times New Roman" w:cs="Times New Roman" w:eastAsia="Times New Roman" w:hAnsi="Times New Roman"/>
          <w:sz w:val="18"/>
          <w:szCs w:val="18"/>
          <w:color w:val="auto"/>
        </w:rPr>
        <w:t>517-0917 for international callers and reference conference ID: 7192045; or from the webcast link in the investor relations section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at: www.ranitherapeutics.com.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webcast replay will be available in the investor relations section on the company’s website for 90 days following the completion of the call.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Rani Therapeutics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Rani Therapeutics is a clinical stage biotherapeutics company focused on advancing technologies to enable the development of orally administered biologics. Rani has developed the RaniPill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capsule, which is a novel, proprietary and patented platform technology, intended to replace subcutaneous injection of biologics with oral dosing. Rani has successfully conducted several preclinical and clinical studies to evaluate safety, tolerability and bioavailability using the RaniPill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capsule. For more information, visit </w:t>
      </w:r>
      <w:r>
        <w:rPr>
          <w:rFonts w:ascii="Times New Roman" w:cs="Times New Roman" w:eastAsia="Times New Roman" w:hAnsi="Times New Roman"/>
          <w:sz w:val="18"/>
          <w:szCs w:val="18"/>
          <w:u w:val="single" w:color="auto"/>
          <w:color w:val="auto"/>
        </w:rPr>
        <w:t>www.ranitherapeutics.com</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66"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timing of topline results from Rani’s Phase 1 trial of RT-102, the expected initiation of an additional Phase 1 trial of another product candidate in the second half of 2022, expected progress with the RaniPill HC platform, and potential expansion of Rani’s prospective opportunity, alone or in partnership, to an additional 50 biologics across multiple new indications, Rani’s development and advancement of its RaniPill capsule technology, the impact of its technology on medical treatment, Rani’s advancement of its preclinical and clinical programs and timing of results, customer acceptance of the RaniPill capsule technology, the potential benefits of the RaniPill capsule technology, Rani’s ability to attract and retain talent, Rani’s prospects for entering into strategic partnerships or transactions, and Rani’s growth as a company. Because such statements are subject to risks and uncertainties, actual results may differ materially from those expressed or implied by such forward-looking statements. Words such as “may,” “could,” “prospective,” “look forward,” “progress,” “advance”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the impact of the COVID-19 pandemic, and the other risks described in Rani’s filings with the Securities and Exchange Commission.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investors@ranitherapeutics.com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media@ranitherapeutics.com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Rani Therapeutics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1000"/>
          </w:cols>
          <w:pgMar w:left="440" w:top="266" w:right="4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Rani Therapeutics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 December 31,</w:t>
            </w:r>
          </w:p>
        </w:tc>
      </w:tr>
      <w:tr>
        <w:trPr>
          <w:trHeight w:val="142"/>
        </w:trPr>
        <w:tc>
          <w:tcPr>
            <w:tcW w:w="9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117,453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73,058</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note receivable</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1,720</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9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119,595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74,945</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4,470</w:t>
            </w:r>
          </w:p>
        </w:tc>
      </w:tr>
      <w:tr>
        <w:trPr>
          <w:trHeight w:val="223"/>
        </w:trPr>
        <w:tc>
          <w:tcPr>
            <w:tcW w:w="9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124,207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79,415</w:t>
            </w:r>
          </w:p>
        </w:tc>
        <w:tc>
          <w:tcPr>
            <w:tcW w:w="120" w:type="dxa"/>
            <w:vAlign w:val="bottom"/>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Units and Stockholders’ Equity / Members’ Deficit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payable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2,717</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1,359</w:t>
            </w:r>
          </w:p>
        </w:tc>
      </w:tr>
      <w:tr>
        <w:trPr>
          <w:trHeight w:val="223"/>
        </w:trPr>
        <w:tc>
          <w:tcPr>
            <w:tcW w:w="9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unit warrant liability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0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2,412</w:t>
            </w: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8,040</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units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184,714</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 (members’ deficit):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units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$0.0001 par value - 20,000 shares authorized; none issued and outstanding as of December 31, 2021</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91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- 800,000 shares authorized; 19,712 issued and outstanding as of</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91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- 40,000 shares authorized; 29,290 issued and outstanding as of</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91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C common stock, $0.0001 par value - 20,000 shares authorized; none issued and outstanding as of December 31,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55,737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(114,003)</w:t>
            </w: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attributable to Rani Therapeutics Holdings, Inc. / (members’ deficit)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(113,339)</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 (members’ deficit)</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121,567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(113,339)</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convertible preferred units and stockholders’ equity / (members’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124,207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79,415</w:t>
            </w:r>
          </w:p>
        </w:tc>
      </w:tr>
      <w:tr>
        <w:trPr>
          <w:trHeight w:val="20"/>
        </w:trPr>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Rani Therapeutics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260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8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3,336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26,482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12,044</w:t>
            </w:r>
          </w:p>
        </w:tc>
        <w:tc>
          <w:tcPr>
            <w:tcW w:w="0" w:type="dxa"/>
            <w:vAlign w:val="bottom"/>
          </w:tcPr>
          <w:p>
            <w:pPr>
              <w:spacing w:after="0"/>
              <w:rPr>
                <w:sz w:val="1"/>
                <w:szCs w:val="1"/>
                <w:color w:val="auto"/>
              </w:rPr>
            </w:pPr>
          </w:p>
        </w:tc>
      </w:tr>
      <w:tr>
        <w:trPr>
          <w:trHeight w:val="216"/>
        </w:trPr>
        <w:tc>
          <w:tcPr>
            <w:tcW w:w="6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54,316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17,006</w:t>
            </w:r>
          </w:p>
        </w:tc>
        <w:tc>
          <w:tcPr>
            <w:tcW w:w="0" w:type="dxa"/>
            <w:vAlign w:val="bottom"/>
          </w:tcPr>
          <w:p>
            <w:pPr>
              <w:spacing w:after="0"/>
              <w:rPr>
                <w:sz w:val="1"/>
                <w:szCs w:val="1"/>
                <w:color w:val="auto"/>
              </w:rPr>
            </w:pPr>
          </w:p>
        </w:tc>
      </w:tr>
      <w:tr>
        <w:trPr>
          <w:trHeight w:val="223"/>
        </w:trPr>
        <w:tc>
          <w:tcPr>
            <w:tcW w:w="65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(51,599)</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(16,544)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estimated fair value of preferred unit warrant</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65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(53,047)</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(16,668)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(53,088)</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(16,703)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(5,756)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(44,757)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(16,703)</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Net loss per Class A common share attributable to Rani Therapeutics Holdings,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 basic and diluted</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Class A common shares outstanding—basic and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19,439</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2022-03-29T15:27:21Z</dcterms:created>
  <dcterms:modified xsi:type="dcterms:W3CDTF">2022-03-29T15:27:21Z</dcterms:modified>
</cp:coreProperties>
</file>