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Rometty Lisa Ann</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2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Josh Seidenfeld, Attorney-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3"/>
        </w:trPr>
        <w:tc>
          <w:tcPr>
            <w:tcW w:w="1680" w:type="dxa"/>
            <w:vAlign w:val="bottom"/>
            <w:vMerge w:val="restart"/>
          </w:tcPr>
          <w:p>
            <w:pPr>
              <w:spacing w:after="0" w:line="186" w:lineRule="exact"/>
              <w:rPr>
                <w:sz w:val="20"/>
                <w:szCs w:val="20"/>
                <w:color w:val="auto"/>
              </w:rPr>
            </w:pPr>
            <w:r>
              <w:rPr>
                <w:rFonts w:ascii="Arial" w:cs="Arial" w:eastAsia="Arial" w:hAnsi="Arial"/>
                <w:sz w:val="17"/>
                <w:szCs w:val="17"/>
                <w:color w:val="0000FF"/>
                <w:w w:val="91"/>
              </w:rPr>
              <w:t>in-Fact for Lisa Rometty</w:t>
            </w: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80" w:type="dxa"/>
            <w:vAlign w:val="bottom"/>
            <w:tcBorders>
              <w:bottom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02958"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2023-05-30T19:20:17Z</dcterms:created>
  <dcterms:modified xsi:type="dcterms:W3CDTF">2023-05-30T19:20:17Z</dcterms:modified>
</cp:coreProperties>
</file>