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March 31, 2025, Rani Therapeutics Holdings, Inc. (the “Company”) issued a press release providing a corporate update and announcing its financial results for the fourth quarter and year ended December 31, 2024.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0"/>
                <w:szCs w:val="20"/>
                <w:color w:val="auto"/>
              </w:rPr>
            </w:pPr>
          </w:p>
        </w:tc>
        <w:tc>
          <w:tcPr>
            <w:tcW w:w="10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101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Rani Therapeutics Holdings, Inc. dated March 31, 2025</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24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3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50050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Fourth Quarter and Full Year 2024 Financial Results; Provides Corporate Update</w:t>
      </w:r>
    </w:p>
    <w:p>
      <w:pPr>
        <w:spacing w:after="0" w:line="119" w:lineRule="exact"/>
        <w:rPr>
          <w:sz w:val="20"/>
          <w:szCs w:val="20"/>
          <w:color w:val="auto"/>
        </w:rPr>
      </w:pPr>
    </w:p>
    <w:p>
      <w:pPr>
        <w:ind w:left="320" w:hanging="111"/>
        <w:spacing w:after="0"/>
        <w:tabs>
          <w:tab w:leader="none" w:pos="3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preclinical data demonstrating the bioequivalence of RT-114, a GLP-1/GLP-2 dual agonist (PG-102) delivered orally via the RaniPill®</w:t>
      </w:r>
    </w:p>
    <w:p>
      <w:pPr>
        <w:spacing w:after="0" w:line="29" w:lineRule="exact"/>
        <w:rPr>
          <w:rFonts w:ascii="Times New Roman" w:cs="Times New Roman" w:eastAsia="Times New Roman" w:hAnsi="Times New Roman"/>
          <w:sz w:val="18"/>
          <w:szCs w:val="18"/>
          <w:i w:val="1"/>
          <w:iCs w:val="1"/>
          <w:color w:val="auto"/>
        </w:rPr>
      </w:pPr>
    </w:p>
    <w:p>
      <w:pPr>
        <w:ind w:left="37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capsule, to subcutaneous administration of PG-102 -</w:t>
      </w:r>
    </w:p>
    <w:p>
      <w:pPr>
        <w:spacing w:after="0" w:line="96" w:lineRule="exact"/>
        <w:rPr>
          <w:rFonts w:ascii="Times New Roman" w:cs="Times New Roman" w:eastAsia="Times New Roman" w:hAnsi="Times New Roman"/>
          <w:sz w:val="18"/>
          <w:szCs w:val="18"/>
          <w:i w:val="1"/>
          <w:iCs w:val="1"/>
          <w:color w:val="auto"/>
        </w:rPr>
      </w:pPr>
    </w:p>
    <w:p>
      <w:pPr>
        <w:ind w:left="1840" w:hanging="105"/>
        <w:spacing w:after="0"/>
        <w:tabs>
          <w:tab w:leader="none" w:pos="184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preclinical data demonstrating successful oral delivery of semaglutide via RaniPill® capsule -</w:t>
      </w:r>
    </w:p>
    <w:p>
      <w:pPr>
        <w:spacing w:after="0" w:line="117" w:lineRule="exact"/>
        <w:rPr>
          <w:rFonts w:ascii="Times New Roman" w:cs="Times New Roman" w:eastAsia="Times New Roman" w:hAnsi="Times New Roman"/>
          <w:sz w:val="18"/>
          <w:szCs w:val="18"/>
          <w:i w:val="1"/>
          <w:iCs w:val="1"/>
          <w:color w:val="auto"/>
        </w:rPr>
      </w:pPr>
    </w:p>
    <w:p>
      <w:pPr>
        <w:ind w:left="360" w:hanging="106"/>
        <w:spacing w:after="0"/>
        <w:tabs>
          <w:tab w:leader="none" w:pos="36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Preclinical data of four incretin-based molecules underscores the RaniPill® platform's potential to facilitate the oral delivery of a diverse array of</w:t>
      </w:r>
    </w:p>
    <w:p>
      <w:pPr>
        <w:spacing w:after="0" w:line="29" w:lineRule="exact"/>
        <w:rPr>
          <w:rFonts w:ascii="Times New Roman" w:cs="Times New Roman" w:eastAsia="Times New Roman" w:hAnsi="Times New Roman"/>
          <w:sz w:val="18"/>
          <w:szCs w:val="18"/>
          <w:i w:val="1"/>
          <w:iCs w:val="1"/>
          <w:color w:val="auto"/>
        </w:rPr>
      </w:pPr>
    </w:p>
    <w:p>
      <w:pPr>
        <w:ind w:left="49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obesity treatments -</w:t>
      </w:r>
    </w:p>
    <w:p>
      <w:pPr>
        <w:spacing w:after="0" w:line="96" w:lineRule="exact"/>
        <w:rPr>
          <w:rFonts w:ascii="Times New Roman" w:cs="Times New Roman" w:eastAsia="Times New Roman" w:hAnsi="Times New Roman"/>
          <w:sz w:val="18"/>
          <w:szCs w:val="18"/>
          <w:i w:val="1"/>
          <w:iCs w:val="1"/>
          <w:color w:val="auto"/>
        </w:rPr>
      </w:pPr>
    </w:p>
    <w:p>
      <w:pPr>
        <w:ind w:left="2520" w:hanging="107"/>
        <w:spacing w:after="0"/>
        <w:tabs>
          <w:tab w:leader="none" w:pos="2520" w:val="left"/>
        </w:tabs>
        <w:numPr>
          <w:ilvl w:val="3"/>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1 study for RT-114 for the treatment of obesity, expected to initiate in mid-2025 -</w:t>
      </w:r>
    </w:p>
    <w:p>
      <w:pPr>
        <w:spacing w:after="0" w:line="117" w:lineRule="exact"/>
        <w:rPr>
          <w:rFonts w:ascii="Times New Roman" w:cs="Times New Roman" w:eastAsia="Times New Roman" w:hAnsi="Times New Roman"/>
          <w:sz w:val="18"/>
          <w:szCs w:val="18"/>
          <w:i w:val="1"/>
          <w:iCs w:val="1"/>
          <w:color w:val="auto"/>
        </w:rPr>
      </w:pPr>
    </w:p>
    <w:p>
      <w:pPr>
        <w:ind w:left="3700" w:hanging="100"/>
        <w:spacing w:after="0"/>
        <w:tabs>
          <w:tab w:leader="none" w:pos="3700" w:val="left"/>
        </w:tabs>
        <w:numPr>
          <w:ilvl w:val="4"/>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today at 4:30 p.m. ET / 1:30 p.m. PT -</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March 31, 2025 </w:t>
      </w:r>
      <w:r>
        <w:rPr>
          <w:rFonts w:ascii="Times New Roman" w:cs="Times New Roman" w:eastAsia="Times New Roman" w:hAnsi="Times New Roman"/>
          <w:sz w:val="18"/>
          <w:szCs w:val="18"/>
          <w:color w:val="auto"/>
        </w:rPr>
        <w:t>-- Rani Therapeutics Holdings, Inc. (“Rani Therapeutics” or “Rani”) (Nasdaq: RANI), a clinical-stage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the oral delivery of biologics and drugs, today reported financial results for the quarter and full year ended December 31, 2024 and provided a corporate update.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entered 2025 with strong momentum, delivering compelling preclinical data demonstrating the successful delivery of multiple obesity treatments. Our preclinical studies show that RT-114, the RaniPill® capsule containing a GLP-1/GLP-2 dual agonist (PG-102), delivered pharmacokinetics, weight loss, and bioavailability comparable to PG-102 administered via subcutaneous injection. Additionally, last month, we shared preclinical data confirming that semaglutide delivered via the RaniPill® capsule exhibits similar bioavailability, pharmacokinetics, and weight loss as subcutaneous administration,” said Talat Imran, Chief Executive Officer of Rani Therapeutics. “Overall, we are encouraged by our robust preclinical data package across four incretin-based molecules, which highlights the RaniPill® platform’s potential to effectively enable the oral delivery of multiple obesity treatments, paving the way for more convenient and accessible therapeutic options. Moreover, we are confident that RT-114 has the potential to become a first-in-class, orally administered GLP-1/GLP-2 dual agonist for the treatment of obesity, addressing a crucial gap in the current treatment landscape. As we look ahead, we intend to initiate a Phase 1 study of RT-114 later this year.”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2024 Highlights:</w:t>
      </w:r>
    </w:p>
    <w:p>
      <w:pPr>
        <w:spacing w:after="0" w:line="117" w:lineRule="exact"/>
        <w:rPr>
          <w:sz w:val="20"/>
          <w:szCs w:val="20"/>
          <w:color w:val="auto"/>
        </w:rPr>
      </w:pPr>
    </w:p>
    <w:p>
      <w:pPr>
        <w:ind w:left="760" w:right="8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Positive topline results from phase 1 study of an oral anti-interleukin 12/23 antibody (RT-111). </w:t>
      </w:r>
      <w:r>
        <w:rPr>
          <w:rFonts w:ascii="Times New Roman" w:cs="Times New Roman" w:eastAsia="Times New Roman" w:hAnsi="Times New Roman"/>
          <w:sz w:val="18"/>
          <w:szCs w:val="18"/>
          <w:color w:val="auto"/>
        </w:rPr>
        <w:t>In February 2024, Rani announced RT-111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high bioavailability and was well tolerated, with no serious adverse events in humans in a Phase 1 study.</w:t>
      </w:r>
    </w:p>
    <w:p>
      <w:pPr>
        <w:spacing w:after="0" w:line="46" w:lineRule="exact"/>
        <w:rPr>
          <w:rFonts w:ascii="Times New Roman" w:cs="Times New Roman" w:eastAsia="Times New Roman" w:hAnsi="Times New Roman"/>
          <w:sz w:val="18"/>
          <w:szCs w:val="18"/>
          <w:color w:val="auto"/>
        </w:rPr>
      </w:pPr>
    </w:p>
    <w:p>
      <w:pPr>
        <w:ind w:left="760" w:right="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Presentation of clinical and preclinical data on oral delivery of an ustekinumab biosimilar via the RaniPill® capsule at Digestive Disease Week 2024. </w:t>
      </w:r>
      <w:r>
        <w:rPr>
          <w:rFonts w:ascii="Times New Roman" w:cs="Times New Roman" w:eastAsia="Times New Roman" w:hAnsi="Times New Roman"/>
          <w:sz w:val="18"/>
          <w:szCs w:val="18"/>
          <w:color w:val="auto"/>
        </w:rPr>
        <w:t>In May 2024, Rani presented preclinical and clinical data demonstrating the delivery of RT-111 with comparable bioavailability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 to subcutaneous (SC) injection of ustekinumab in canines and healthy human participants, respectively.</w:t>
      </w:r>
    </w:p>
    <w:p>
      <w:pPr>
        <w:spacing w:after="0" w:line="62" w:lineRule="exact"/>
        <w:rPr>
          <w:rFonts w:ascii="Times New Roman" w:cs="Times New Roman" w:eastAsia="Times New Roman" w:hAnsi="Times New Roman"/>
          <w:sz w:val="18"/>
          <w:szCs w:val="18"/>
          <w:color w:val="auto"/>
        </w:rPr>
      </w:pPr>
    </w:p>
    <w:p>
      <w:pPr>
        <w:ind w:left="760" w:right="120" w:hanging="378"/>
        <w:spacing w:after="0" w:line="26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Partnership with ProGen on development of oral obesity treatment. </w:t>
      </w:r>
      <w:r>
        <w:rPr>
          <w:rFonts w:ascii="Times New Roman" w:cs="Times New Roman" w:eastAsia="Times New Roman" w:hAnsi="Times New Roman"/>
          <w:sz w:val="18"/>
          <w:szCs w:val="18"/>
          <w:color w:val="auto"/>
        </w:rPr>
        <w:t>In June 2024, Rani announced that it had entered into a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ProGen Co., Ltd., a South Korean clinical-stage biotech company developing next generation long-acting, multi-specific fusion protein therapeutics, for the co-development and commercialization of RT-114, an oral RaniPill® capsule containing ProGen’s PG-102, a GLP-1/GLP-2 dual agonist, for the treatment of obesity.</w:t>
      </w:r>
    </w:p>
    <w:p>
      <w:pPr>
        <w:spacing w:after="0" w:line="68" w:lineRule="exact"/>
        <w:rPr>
          <w:rFonts w:ascii="Times New Roman" w:cs="Times New Roman" w:eastAsia="Times New Roman" w:hAnsi="Times New Roman"/>
          <w:sz w:val="18"/>
          <w:szCs w:val="18"/>
          <w:color w:val="auto"/>
        </w:rPr>
      </w:pPr>
    </w:p>
    <w:p>
      <w:pPr>
        <w:ind w:left="760" w:right="10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two equity offerings for total gross proceeds of approximately $20.0 million. </w:t>
      </w:r>
      <w:r>
        <w:rPr>
          <w:rFonts w:ascii="Times New Roman" w:cs="Times New Roman" w:eastAsia="Times New Roman" w:hAnsi="Times New Roman"/>
          <w:sz w:val="18"/>
          <w:szCs w:val="18"/>
          <w:color w:val="auto"/>
        </w:rPr>
        <w:t>In July and October 2024, Rani completed the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issuance of Class A common stock, pre-funded warrants to purchase Class A common stock, and warrants to purchase Class A common stock, to an institutional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investor for total gross proceeds of approximately $20.0 million, excluding any potential proceeds from the exercise of warrants, if any.</w:t>
      </w:r>
    </w:p>
    <w:p>
      <w:pPr>
        <w:spacing w:after="0" w:line="113" w:lineRule="exact"/>
        <w:rPr>
          <w:sz w:val="20"/>
          <w:szCs w:val="20"/>
          <w:color w:val="auto"/>
        </w:rPr>
      </w:pPr>
    </w:p>
    <w:p>
      <w:pPr>
        <w:ind w:left="760" w:right="220" w:hanging="378"/>
        <w:spacing w:after="0" w:line="26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Preclinical pharmacokinetic data supporting transenteric delivery of GLP-1 incretin triagonist. </w:t>
      </w:r>
      <w:r>
        <w:rPr>
          <w:rFonts w:ascii="Times New Roman" w:cs="Times New Roman" w:eastAsia="Times New Roman" w:hAnsi="Times New Roman"/>
          <w:sz w:val="18"/>
          <w:szCs w:val="18"/>
          <w:color w:val="auto"/>
        </w:rPr>
        <w:t>In October 2024, Rani announced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 data from a preclinical study evaluating a GLP-1, GIP and glucagon receptors incretin triagonist with a delivery method mimicking the RaniPill® route of administration. The data demonstrated that transenteric delivery of incretin triagonist GLP-1, GIP, glucagon receptors elicited rapid weight loss and bioavailability comparable to subcutaneous injection.</w:t>
      </w:r>
    </w:p>
    <w:p>
      <w:pPr>
        <w:spacing w:after="0" w:line="68" w:lineRule="exact"/>
        <w:rPr>
          <w:rFonts w:ascii="Times New Roman" w:cs="Times New Roman" w:eastAsia="Times New Roman" w:hAnsi="Times New Roman"/>
          <w:sz w:val="18"/>
          <w:szCs w:val="18"/>
          <w:color w:val="auto"/>
        </w:rPr>
      </w:pPr>
    </w:p>
    <w:p>
      <w:pPr>
        <w:ind w:left="760" w:right="80" w:hanging="378"/>
        <w:spacing w:after="0" w:line="26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Preclinical data demonstrating successful oral delivery of semaglutide via RaniPill® HC. </w:t>
      </w:r>
      <w:r>
        <w:rPr>
          <w:rFonts w:ascii="Times New Roman" w:cs="Times New Roman" w:eastAsia="Times New Roman" w:hAnsi="Times New Roman"/>
          <w:sz w:val="18"/>
          <w:szCs w:val="18"/>
          <w:color w:val="auto"/>
        </w:rPr>
        <w:t>In February 2025, Rani released preclinical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demonstrated semaglutide administered orally via the RaniPill® HC (RT-116) resulted in comparable bioavailability, pharmacokinetics and weight loss to subcutaneous administration of semaglutide. RT-116 was well tolerated with no serious adverse events. Data adds to growing body of evidence of the RaniPill® platform’s potential to enable oral delivery of multiple obesity treatments.</w:t>
      </w:r>
    </w:p>
    <w:p>
      <w:pPr>
        <w:spacing w:after="0" w:line="68" w:lineRule="exact"/>
        <w:rPr>
          <w:rFonts w:ascii="Times New Roman" w:cs="Times New Roman" w:eastAsia="Times New Roman" w:hAnsi="Times New Roman"/>
          <w:sz w:val="18"/>
          <w:szCs w:val="18"/>
          <w:color w:val="auto"/>
        </w:rPr>
      </w:pPr>
    </w:p>
    <w:p>
      <w:pPr>
        <w:ind w:left="760" w:right="20" w:hanging="378"/>
        <w:spacing w:after="0" w:line="291"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Preclinical data demonstrating bioequivalence of RT-114, a GLP-1/GLP-2 dual agonist (PG-102) delivered orally via the RaniPill® capsule, to subcutaneously administered PG-102. </w:t>
      </w:r>
      <w:r>
        <w:rPr>
          <w:rFonts w:ascii="Times New Roman" w:cs="Times New Roman" w:eastAsia="Times New Roman" w:hAnsi="Times New Roman"/>
          <w:sz w:val="17"/>
          <w:szCs w:val="17"/>
          <w:color w:val="auto"/>
        </w:rPr>
        <w:t>In March 2025, Rani released new preclinical data, where RT-114 yielded a relative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bioavailability of 111% compared to PG-102 delivered subcutaneously with comparable pharmacokinetic profiles demonstrating bioequivalence.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12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 clinical trial of RT-114 for the treatment of obesity expected in mid-2025.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2024 Financial Results:</w:t>
      </w:r>
    </w:p>
    <w:p>
      <w:pPr>
        <w:spacing w:after="0" w:line="117" w:lineRule="exact"/>
        <w:rPr>
          <w:sz w:val="20"/>
          <w:szCs w:val="20"/>
          <w:color w:val="auto"/>
        </w:rPr>
      </w:pPr>
    </w:p>
    <w:p>
      <w:pPr>
        <w:ind w:left="760" w:right="160" w:hanging="378"/>
        <w:spacing w:after="0" w:line="26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December 31, 2024 totaled $27.6 million, compared to $48.5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 Rani expects its cash, cash equivalents and marketable securities to be sufficient to fund its operations into the third quarter of 2025 without additional funding.</w:t>
      </w:r>
    </w:p>
    <w:p>
      <w:pPr>
        <w:spacing w:after="0" w:line="62"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 Revenue </w:t>
      </w:r>
      <w:r>
        <w:rPr>
          <w:rFonts w:ascii="Times New Roman" w:cs="Times New Roman" w:eastAsia="Times New Roman" w:hAnsi="Times New Roman"/>
          <w:sz w:val="18"/>
          <w:szCs w:val="18"/>
          <w:color w:val="auto"/>
        </w:rPr>
        <w:t>for the three and twelve months ended December 31, 2024 were $1.0 million and was attributable to evaluation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for a customer. There was no contract revenue for the same periods in 2023.</w:t>
      </w:r>
    </w:p>
    <w:p>
      <w:pPr>
        <w:spacing w:after="0" w:line="46"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and twelve months ended December 31, 2024 were $6.8 million and $26.7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$7.6 million and $39.6 million for the same periods in 2023, respectively. The year over year decrease of $12.9 million was primarily attributable to lower compensation costs of $6.3 million due to reduction in workforce, $5.6 million reduction in third-party services and $0.9 million reduction in materials and supplies due to the timing of certain preclinical and clinical studies.</w:t>
      </w:r>
    </w:p>
    <w:p>
      <w:pPr>
        <w:spacing w:after="0" w:line="68" w:lineRule="exact"/>
        <w:rPr>
          <w:rFonts w:ascii="Times New Roman" w:cs="Times New Roman" w:eastAsia="Times New Roman" w:hAnsi="Times New Roman"/>
          <w:sz w:val="18"/>
          <w:szCs w:val="18"/>
          <w:color w:val="auto"/>
        </w:rPr>
      </w:pPr>
    </w:p>
    <w:p>
      <w:pPr>
        <w:ind w:left="760" w:right="80" w:hanging="378"/>
        <w:spacing w:after="0" w:line="259"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and twelve months ended December 31, 2024 were $5.5 million and $23.9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$5.8 million and $26.5 million for the same periods in 2023, respectively. The year over year decrease of $2.5 million was primarily attributable to lower compensation costs of $2.0 million due to reduction in workforce, $1.2 million reduction in third-party services and other costs primarily due to lower insurance premiums, offset by an increase in facility costs of $0.7 million due to the lease in Fremont, California.</w:t>
      </w:r>
    </w:p>
    <w:p>
      <w:pPr>
        <w:spacing w:after="0" w:line="71" w:lineRule="exact"/>
        <w:rPr>
          <w:rFonts w:ascii="Times New Roman" w:cs="Times New Roman" w:eastAsia="Times New Roman" w:hAnsi="Times New Roman"/>
          <w:sz w:val="18"/>
          <w:szCs w:val="18"/>
          <w:color w:val="auto"/>
        </w:rPr>
      </w:pPr>
    </w:p>
    <w:p>
      <w:pPr>
        <w:ind w:left="760" w:right="80" w:hanging="378"/>
        <w:spacing w:after="0" w:line="259"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Impairment Loss </w:t>
      </w:r>
      <w:r>
        <w:rPr>
          <w:rFonts w:ascii="Times New Roman" w:cs="Times New Roman" w:eastAsia="Times New Roman" w:hAnsi="Times New Roman"/>
          <w:sz w:val="18"/>
          <w:szCs w:val="18"/>
          <w:color w:val="auto"/>
        </w:rPr>
        <w:t>for the three and twelve months ended December 31, 2024 were $3.7 million and was attributable to construction-in-progress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and equipment. Rani considers many factors in evaluating whether the value of its construction-in-progress property and equipment may not be recoverable, including, but not limited to, alternative use, cost-savings and strategic considerations. As a result, it was determined that the carrying amount of the construction-in-progress property and equipment exceeded its fair value and was written down to its salvage value. There was no impairment loss for the same periods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22" w:lineRule="exact"/>
        <w:rPr>
          <w:sz w:val="20"/>
          <w:szCs w:val="20"/>
          <w:color w:val="auto"/>
        </w:rPr>
      </w:pPr>
    </w:p>
    <w:p>
      <w:pPr>
        <w:ind w:left="760" w:right="20" w:hanging="378"/>
        <w:spacing w:after="0" w:line="25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and twelve months ended December 31, 2024 were $15.7 million and $56.6 million, respectively, compared to $14.1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$67.9 million for the same period in 2023, respectively, including non-cash stock-based compensation expense of $4.0 million for the three months ended December 31, 2024 and $16.0 million for the full year 2024, compared to $4.5 million and $19.0 million for the same periods in 2023, respectively. The net loss for the three and twelve months ended December 31, 2024 also includes the non-cash impairment loss of $3.7 million, as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Rani will host a corresponding conference call today at 4:30 p.m. ET / 1:30 p.m. PT to discuss the results and provide a business update. Individuals interested in listening to the live conference call may do so by using the link in the “Investors” section of the company’s website at www.ranitherapeutics.com. A webcast replay will be available in the investor relations section on the company’s website following the completion of the call.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1 trial of RT-114 in mid-2025, the potential of the RaniPill® platform to enable oral delivery of multiple obesity treatments and validation of such potential through preclinical data, the potential of the RaniPill® platform to offer more convenient and accessible therapeutic options, the potential for RT-114 to become a first-in-class, orally administered GLP-1/GLP-2 dual agonist for the treatment of obesity,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“confident,” “intend,” “potential,” “expect,”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2024,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asset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33,430 and 26,036 issued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23,972 and 24,116 issued and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31, 2024 and December 31,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(102,907 )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(72,889 )</w:t>
            </w:r>
          </w:p>
        </w:tc>
      </w:tr>
      <w:tr>
        <w:trPr>
          <w:trHeight w:val="209"/>
        </w:trPr>
        <w:tc>
          <w:tcPr>
            <w:tcW w:w="77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608"/>
        </w:trPr>
        <w:tc>
          <w:tcPr>
            <w:tcW w:w="7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-4714240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-4697095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-3865245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-3299460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-1645285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-1362075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5"/>
                <w:szCs w:val="15"/>
                <w:color w:val="auto"/>
              </w:rPr>
            </w:pPr>
          </w:p>
        </w:tc>
        <w:tc>
          <w:tcPr>
            <w:tcW w:w="23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loss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(14,958 )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(13,435 )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(53,314 )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(66,099 )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(1,124 )</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(1,296 )</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(5,033 )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(15,721 )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(14,055 )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(56,584 )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(67,883 )</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(6,775 )</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(6,956 )</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(26,566 )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(33,913 )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(8,946 )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(7,099 )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(30,018 )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(33,970 )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4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(1.05 )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194"/>
        </w:trPr>
        <w:tc>
          <w:tcPr>
            <w:tcW w:w="574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Holdings, Inc., basic and diluted</w:t>
            </w:r>
          </w:p>
        </w:tc>
        <w:tc>
          <w:tcPr>
            <w:tcW w:w="1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32,660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25,874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07"/>
        </w:trPr>
        <w:tc>
          <w:tcPr>
            <w:tcW w:w="5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-2639695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-2639695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-2639695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-1508125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-1490980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-1508125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-1490980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-1508125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-1490980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-1070610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-1070610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-1070610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-1053465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2025-03-31T15:33:47Z</dcterms:created>
  <dcterms:modified xsi:type="dcterms:W3CDTF">2025-03-31T15:33:47Z</dcterms:modified>
</cp:coreProperties>
</file>