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20,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77470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81280</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81915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p>
      <w:pPr>
        <w:spacing w:after="0" w:line="28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45" w:lineRule="exact"/>
        <w:rPr>
          <w:sz w:val="24"/>
          <w:szCs w:val="24"/>
          <w:color w:val="auto"/>
        </w:rPr>
      </w:pPr>
    </w:p>
    <w:p>
      <w:pPr>
        <w:sectPr>
          <w:pgSz w:w="11900" w:h="16838" w:orient="portrait"/>
          <w:cols w:equalWidth="0" w:num="2">
            <w:col w:w="7980" w:space="720"/>
            <w:col w:w="2500"/>
          </w:cols>
          <w:pgMar w:left="320" w:top="549" w:right="37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840" w:space="720"/>
            <w:col w:w="2640"/>
          </w:cols>
          <w:pgMar w:left="320" w:top="549" w:right="379" w:bottom="1440" w:gutter="0" w:footer="0" w:header="0"/>
          <w:type w:val="continuous"/>
        </w:sectPr>
      </w:pPr>
    </w:p>
    <w:p>
      <w:pPr>
        <w:spacing w:after="0" w:line="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ectPr>
          <w:pgSz w:w="11900" w:h="16838" w:orient="portrait"/>
          <w:cols w:equalWidth="0" w:num="1">
            <w:col w:w="11200"/>
          </w:cols>
          <w:pgMar w:left="320" w:top="549" w:right="379" w:bottom="1440" w:gutter="0" w:footer="0" w:header="0"/>
          <w:type w:val="continuous"/>
        </w:sectPr>
      </w:pP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Rani Therapeutics Holdings, Inc. 2021 Equity Incentive Plan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Rani Therapeutics Holdings, Inc. 2021 Employee Stock Purchase Plan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151765</wp:posOffset>
            </wp:positionV>
            <wp:extent cx="1611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Talat Imran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(408) 457-3700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Josh Seidenfeld</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3175 Hanover Street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186055</wp:posOffset>
            </wp:positionV>
            <wp:extent cx="1611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w:t>
            </w:r>
          </w:p>
        </w:tc>
        <w:tc>
          <w:tcPr>
            <w:tcW w:w="4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rPr>
                <w:sz w:val="20"/>
                <w:szCs w:val="20"/>
                <w:color w:val="auto"/>
              </w:rPr>
            </w:pPr>
            <w:r>
              <w:rPr>
                <w:rFonts w:ascii="Wingdings" w:cs="Wingdings" w:eastAsia="Wingdings" w:hAnsi="Wingdings"/>
                <w:sz w:val="18"/>
                <w:szCs w:val="18"/>
                <w:b w:val="1"/>
                <w:bCs w:val="1"/>
                <w:color w:val="auto"/>
              </w:rPr>
              <w:t></w:t>
            </w: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w:t>
            </w:r>
          </w:p>
        </w:tc>
      </w:tr>
      <w:tr>
        <w:trPr>
          <w:trHeight w:val="243"/>
        </w:trPr>
        <w:tc>
          <w:tcPr>
            <w:tcW w:w="4220" w:type="dxa"/>
            <w:vAlign w:val="bottom"/>
          </w:tcPr>
          <w:p>
            <w:pPr>
              <w:spacing w:after="0"/>
              <w:rPr>
                <w:sz w:val="21"/>
                <w:szCs w:val="21"/>
                <w:color w:val="auto"/>
              </w:rPr>
            </w:pP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tc>
      </w:tr>
    </w:tbl>
    <w:p>
      <w:pPr>
        <w:spacing w:after="0" w:line="103"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 AND GENERAL INSTRUCTION E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Registrant is filing this Registration Statement on Form S-8 for the purpose of registering an additional 2,507,647 shares of Class A common stock under the Rani Therapeutics Holdings, Inc. 2021 Equity Incentive Plan and an additional 100,000 shares of Class A common stock under the Rani Therapeutics Holdings, Inc. 2021 Employee Stock Purchase Plan, pursuant to the provisions of each plan which provide for annual automatic increases in the number of shares of Class A common stock reserved for issuance under each respective plan.</w:t>
      </w:r>
    </w:p>
    <w:p>
      <w:pPr>
        <w:spacing w:after="0" w:line="180" w:lineRule="exact"/>
        <w:rPr>
          <w:sz w:val="20"/>
          <w:szCs w:val="20"/>
          <w:color w:val="auto"/>
        </w:rPr>
      </w:pPr>
    </w:p>
    <w:p>
      <w:pPr>
        <w:ind w:firstLine="749"/>
        <w:spacing w:after="0" w:line="25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Registration Statement is being filed for the purpose of increasing the number of securities of the same class as other securities for which Registration Statements on Form S-8 of the Registrant relating to the same employee benefit plans set forth herein are effective. Pursuant to General Instruction E of Form S-8, this Registration Statement incorporates by reference the contents of the registration statements on Form S-8 relating to the 2021 </w:t>
      </w:r>
      <w:hyperlink r:id="rId18">
        <w:r>
          <w:rPr>
            <w:rFonts w:ascii="Times New Roman" w:cs="Times New Roman" w:eastAsia="Times New Roman" w:hAnsi="Times New Roman"/>
            <w:sz w:val="18"/>
            <w:szCs w:val="18"/>
            <w:color w:val="auto"/>
          </w:rPr>
          <w:t>Equity Incentive Plan and the 2021 Employee Stock Purchase Plan filed by the Registrant with the Securities and Exchange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FF"/>
          </w:rPr>
          <w:t>August 3, 2021</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(File No. 333-2584150)</w:t>
        </w:r>
        <w:r>
          <w:rPr>
            <w:rFonts w:ascii="Times New Roman" w:cs="Times New Roman" w:eastAsia="Times New Roman" w:hAnsi="Times New Roman"/>
            <w:sz w:val="18"/>
            <w:szCs w:val="18"/>
            <w:color w:val="000000"/>
          </w:rPr>
          <w:t>, on</w:t>
        </w:r>
        <w:r>
          <w:rPr>
            <w:rFonts w:ascii="Times New Roman" w:cs="Times New Roman" w:eastAsia="Times New Roman" w:hAnsi="Times New Roman"/>
            <w:sz w:val="18"/>
            <w:szCs w:val="18"/>
            <w:color w:val="0000FF"/>
          </w:rPr>
          <w:t xml:space="preserve"> </w:t>
        </w:r>
      </w:hyperlink>
      <w:hyperlink r:id="rId19">
        <w:r>
          <w:rPr>
            <w:rFonts w:ascii="Times New Roman" w:cs="Times New Roman" w:eastAsia="Times New Roman" w:hAnsi="Times New Roman"/>
            <w:sz w:val="18"/>
            <w:szCs w:val="18"/>
            <w:u w:val="single" w:color="auto"/>
            <w:color w:val="0000FF"/>
          </w:rPr>
          <w:t xml:space="preserve">March 31, 2022 (File No. 333-264018) </w:t>
        </w:r>
      </w:hyperlink>
      <w:hyperlink r:id="rId18">
        <w:r>
          <w:rPr>
            <w:rFonts w:ascii="Times New Roman" w:cs="Times New Roman" w:eastAsia="Times New Roman" w:hAnsi="Times New Roman"/>
            <w:sz w:val="18"/>
            <w:szCs w:val="18"/>
            <w:color w:val="000000"/>
          </w:rPr>
          <w:t>and on</w:t>
        </w:r>
        <w:r>
          <w:rPr>
            <w:rFonts w:ascii="Times New Roman" w:cs="Times New Roman" w:eastAsia="Times New Roman" w:hAnsi="Times New Roman"/>
            <w:sz w:val="18"/>
            <w:szCs w:val="18"/>
            <w:color w:val="0000FF"/>
          </w:rPr>
          <w:t xml:space="preserve"> </w:t>
        </w:r>
      </w:hyperlink>
      <w:hyperlink r:id="rId20">
        <w:r>
          <w:rPr>
            <w:rFonts w:ascii="Times New Roman" w:cs="Times New Roman" w:eastAsia="Times New Roman" w:hAnsi="Times New Roman"/>
            <w:sz w:val="18"/>
            <w:szCs w:val="18"/>
            <w:u w:val="single" w:color="auto"/>
            <w:color w:val="0000FF"/>
          </w:rPr>
          <w:t>March 22, 2023 (File No. 333-270747)</w:t>
        </w:r>
      </w:hyperlink>
      <w:hyperlink r:id="rId18">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Certain Documents By Reference.</w:t>
      </w:r>
    </w:p>
    <w:p>
      <w:pPr>
        <w:spacing w:after="0" w:line="225"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color w:val="auto"/>
        </w:rPr>
        <w:t>The following documents filed by Rani Therapeutics Holdings,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with the Commission are incorporated by reference into this Registration Statement:</w:t>
      </w:r>
    </w:p>
    <w:p>
      <w:pPr>
        <w:spacing w:after="0" w:line="51" w:lineRule="exact"/>
        <w:rPr>
          <w:sz w:val="20"/>
          <w:szCs w:val="20"/>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Registrant’s Annual Report on Form 10-K for the year ended December 31, 2023, filed with the SEC on March 20, 2024;</w:t>
      </w:r>
    </w:p>
    <w:p>
      <w:pPr>
        <w:spacing w:after="0" w:line="117"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Registrant’s Current Report on Form 8-K filed with the SEC on February 5, 2024; and</w:t>
      </w:r>
    </w:p>
    <w:p>
      <w:pPr>
        <w:spacing w:after="0" w:line="117" w:lineRule="exact"/>
        <w:rPr>
          <w:rFonts w:ascii="Times New Roman" w:cs="Times New Roman" w:eastAsia="Times New Roman" w:hAnsi="Times New Roman"/>
          <w:sz w:val="18"/>
          <w:szCs w:val="18"/>
          <w:b w:val="1"/>
          <w:bCs w:val="1"/>
          <w:color w:val="auto"/>
        </w:rPr>
      </w:pPr>
    </w:p>
    <w:p>
      <w:pPr>
        <w:ind w:right="500" w:firstLine="757"/>
        <w:spacing w:after="0" w:line="266" w:lineRule="auto"/>
        <w:tabs>
          <w:tab w:leader="none" w:pos="101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description of the Registrant’s Class A common stock which is contained in a registration statement on </w:t>
      </w:r>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color w:val="auto"/>
        </w:rPr>
        <w:t xml:space="preserve"> filed with the Commission on July 26, 2021 (File No. 001-40672) under Section 12(b)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including any amendment or report filed for the purpose of updating such description.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4"/>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Schedule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9"/>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gridSpan w:val="11"/>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8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5"/>
        </w:trPr>
        <w:tc>
          <w:tcPr>
            <w:tcW w:w="800" w:type="dxa"/>
            <w:vAlign w:val="bottom"/>
            <w:tcBorders>
              <w:top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480" w:type="dxa"/>
            <w:vAlign w:val="bottom"/>
            <w:tcBorders>
              <w:top w:val="single" w:sz="8" w:color="auto"/>
              <w:bottom w:val="single" w:sz="8" w:color="0000FF"/>
            </w:tcBorders>
            <w:gridSpan w:val="11"/>
          </w:tcPr>
          <w:p>
            <w:pPr>
              <w:spacing w:after="0" w:line="175"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Amended and Restated Certificate of Incorporation of the Registrant, as currently in</w:t>
              </w:r>
            </w:hyperlink>
          </w:p>
        </w:tc>
        <w:tc>
          <w:tcPr>
            <w:tcW w:w="300" w:type="dxa"/>
            <w:vAlign w:val="bottom"/>
            <w:tcBorders>
              <w:top w:val="single" w:sz="8" w:color="auto"/>
            </w:tcBorders>
            <w:gridSpan w:val="3"/>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S-1/A</w:t>
            </w:r>
          </w:p>
        </w:tc>
        <w:tc>
          <w:tcPr>
            <w:tcW w:w="180" w:type="dxa"/>
            <w:vAlign w:val="bottom"/>
          </w:tcPr>
          <w:p>
            <w:pPr>
              <w:spacing w:after="0"/>
              <w:rPr>
                <w:sz w:val="15"/>
                <w:szCs w:val="15"/>
                <w:color w:val="auto"/>
              </w:rPr>
            </w:pPr>
          </w:p>
        </w:tc>
        <w:tc>
          <w:tcPr>
            <w:tcW w:w="10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333-257809</w:t>
            </w:r>
          </w:p>
        </w:tc>
        <w:tc>
          <w:tcPr>
            <w:tcW w:w="160" w:type="dxa"/>
            <w:vAlign w:val="bottom"/>
          </w:tcPr>
          <w:p>
            <w:pPr>
              <w:spacing w:after="0"/>
              <w:rPr>
                <w:sz w:val="15"/>
                <w:szCs w:val="15"/>
                <w:color w:val="auto"/>
              </w:rPr>
            </w:pPr>
          </w:p>
        </w:tc>
        <w:tc>
          <w:tcPr>
            <w:tcW w:w="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6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July 26, 2021</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3"/>
              </w:rPr>
            </w:pPr>
            <w:hyperlink r:id="rId22">
              <w:r>
                <w:rPr>
                  <w:rFonts w:ascii="Times New Roman" w:cs="Times New Roman" w:eastAsia="Times New Roman" w:hAnsi="Times New Roman"/>
                  <w:sz w:val="16"/>
                  <w:szCs w:val="16"/>
                  <w:color w:val="0000FF"/>
                  <w:w w:val="93"/>
                </w:rPr>
                <w:t>effect.</w:t>
              </w:r>
            </w:hyperlink>
          </w:p>
        </w:tc>
        <w:tc>
          <w:tcPr>
            <w:tcW w:w="5540" w:type="dxa"/>
            <w:vAlign w:val="bottom"/>
            <w:gridSpan w:val="13"/>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Amended and Restated Bylaws of the Registrant, as currently in effect.</w:t>
              </w:r>
            </w:hyperlink>
          </w:p>
        </w:tc>
        <w:tc>
          <w:tcPr>
            <w:tcW w:w="1340" w:type="dxa"/>
            <w:vAlign w:val="bottom"/>
            <w:gridSpan w:val="6"/>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3.4</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Specimen Class A common stock certificate of the Registrant.</w:t>
              </w:r>
            </w:hyperlink>
          </w:p>
        </w:tc>
        <w:tc>
          <w:tcPr>
            <w:tcW w:w="1920" w:type="dxa"/>
            <w:vAlign w:val="bottom"/>
            <w:gridSpan w:val="7"/>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4.1</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Opinion of Cooley LLP.</w:t>
            </w:r>
          </w:p>
        </w:tc>
        <w:tc>
          <w:tcPr>
            <w:tcW w:w="438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Consent of Cooley LLP (included in Exhibit 5.1).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w:t>
            </w:r>
          </w:p>
        </w:tc>
        <w:tc>
          <w:tcPr>
            <w:tcW w:w="20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Power of Attorney (included on the signature page of this registration statement).</w:t>
            </w:r>
          </w:p>
        </w:tc>
        <w:tc>
          <w:tcPr>
            <w:tcW w:w="68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2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5">
              <w:r>
                <w:rPr>
                  <w:rFonts w:ascii="Times New Roman" w:cs="Times New Roman" w:eastAsia="Times New Roman" w:hAnsi="Times New Roman"/>
                  <w:sz w:val="16"/>
                  <w:szCs w:val="16"/>
                  <w:color w:val="0000FF"/>
                </w:rPr>
                <w:t>Rani Therapeutics, LLC 2016 Equity Incentive Plan and forms of agreement thereunder.</w:t>
              </w:r>
            </w:hyperlink>
          </w:p>
        </w:tc>
        <w:tc>
          <w:tcPr>
            <w:tcW w:w="22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10.5</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rFonts w:ascii="Times New Roman" w:cs="Times New Roman" w:eastAsia="Times New Roman" w:hAnsi="Times New Roman"/>
                <w:sz w:val="16"/>
                <w:szCs w:val="16"/>
                <w:color w:val="0000FF"/>
              </w:rPr>
            </w:pPr>
            <w:hyperlink r:id="rId26">
              <w:r>
                <w:rPr>
                  <w:rFonts w:ascii="Times New Roman" w:cs="Times New Roman" w:eastAsia="Times New Roman" w:hAnsi="Times New Roman"/>
                  <w:sz w:val="16"/>
                  <w:szCs w:val="16"/>
                  <w:color w:val="0000FF"/>
                </w:rPr>
                <w:t>Rani Therapeutics Holdings, Inc. 2021 Equity Incentive Plan.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10.7</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Forms of Agreement under the Rani Therapeutics Holdings, Inc. 2021 Equity Incentive</w:t>
              </w:r>
            </w:hyperlink>
          </w:p>
        </w:tc>
        <w:tc>
          <w:tcPr>
            <w:tcW w:w="24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001-40672</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10.8</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31, 2022</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Plan.</w:t>
              </w:r>
            </w:hyperlink>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Rani Therapeutics Holdings, Inc. 2021 Employee Stock Purchase Plan.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10.8</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Filing Fee Table</w:t>
            </w:r>
          </w:p>
        </w:tc>
        <w:tc>
          <w:tcPr>
            <w:tcW w:w="3540" w:type="dxa"/>
            <w:vAlign w:val="bottom"/>
            <w:tcBorders>
              <w:top w:val="single" w:sz="8" w:color="0000FF"/>
            </w:tcBorders>
            <w:gridSpan w:val="6"/>
          </w:tcPr>
          <w:p>
            <w:pPr>
              <w:spacing w:after="0"/>
              <w:rPr>
                <w:sz w:val="18"/>
                <w:szCs w:val="18"/>
                <w:color w:val="auto"/>
              </w:rPr>
            </w:pPr>
          </w:p>
        </w:tc>
        <w:tc>
          <w:tcPr>
            <w:tcW w:w="134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March 20, 2024.</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-127635</wp:posOffset>
            </wp:positionV>
            <wp:extent cx="29660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Talat Imran and Svai Sanford,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7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2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0" w:type="dxa"/>
            <w:vAlign w:val="bottom"/>
          </w:tcPr>
          <w:p>
            <w:pPr>
              <w:spacing w:after="0"/>
              <w:rPr>
                <w:sz w:val="20"/>
                <w:szCs w:val="20"/>
                <w:color w:val="auto"/>
              </w:rPr>
            </w:pPr>
          </w:p>
        </w:tc>
        <w:tc>
          <w:tcPr>
            <w:tcW w:w="24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73"/>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Talat Imran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Talat Imran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ind w:left="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Svai Sanford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Dennis Ausiello</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Dennis Ausiello</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Jean-Luc Butel</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Jean-Luc Butel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Laureen DeBuono</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Laureen DeBuono</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Andrew Farquharson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Farquharson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Mir Imran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 Imran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Maulik Nanavaty</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Maulik Nanavaty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Lisa Rometty</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20, 2024</w:t>
            </w:r>
          </w:p>
        </w:tc>
        <w:tc>
          <w:tcPr>
            <w:tcW w:w="20" w:type="dxa"/>
            <w:vAlign w:val="bottom"/>
          </w:tcPr>
          <w:p>
            <w:pPr>
              <w:spacing w:after="0"/>
              <w:rPr>
                <w:sz w:val="24"/>
                <w:szCs w:val="24"/>
                <w:color w:val="auto"/>
              </w:rPr>
            </w:pPr>
          </w:p>
        </w:tc>
      </w:tr>
      <w:tr>
        <w:trPr>
          <w:trHeight w:val="23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Rometty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04"/>
        </w:trPr>
        <w:tc>
          <w:tcPr>
            <w:tcW w:w="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16586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Josh Seidenfeld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+1 650 843 5862</w:t>
      </w:r>
    </w:p>
    <w:p>
      <w:pPr>
        <w:spacing w:after="0"/>
        <w:rPr>
          <w:sz w:val="20"/>
          <w:szCs w:val="20"/>
          <w:color w:val="auto"/>
        </w:rPr>
      </w:pPr>
      <w:r>
        <w:rPr>
          <w:rFonts w:ascii="Arial" w:cs="Arial" w:eastAsia="Arial" w:hAnsi="Arial"/>
          <w:sz w:val="18"/>
          <w:szCs w:val="18"/>
          <w:color w:val="auto"/>
        </w:rPr>
        <w:t>jseidenfeld@cooley.com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March 20,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Avenue</w:t>
      </w:r>
    </w:p>
    <w:p>
      <w:pPr>
        <w:spacing w:after="0"/>
        <w:rPr>
          <w:sz w:val="20"/>
          <w:szCs w:val="20"/>
          <w:color w:val="auto"/>
        </w:rPr>
      </w:pPr>
      <w:r>
        <w:rPr>
          <w:rFonts w:ascii="Arial" w:cs="Arial" w:eastAsia="Arial" w:hAnsi="Arial"/>
          <w:sz w:val="18"/>
          <w:szCs w:val="18"/>
          <w:color w:val="auto"/>
        </w:rPr>
        <w:t>San Jose, California 95131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acted as counsel to Rani Therapeutics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an offering of up to 2,607,647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(a) 2,507,647 shares of Common Stock issuable pursuant to the Company’s 2021 Equity Incentive Plan (the “</w:t>
      </w:r>
      <w:r>
        <w:rPr>
          <w:rFonts w:ascii="Arial" w:cs="Arial" w:eastAsia="Arial" w:hAnsi="Arial"/>
          <w:sz w:val="18"/>
          <w:szCs w:val="18"/>
          <w:b w:val="1"/>
          <w:bCs w:val="1"/>
          <w:i w:val="1"/>
          <w:iCs w:val="1"/>
          <w:color w:val="auto"/>
        </w:rPr>
        <w:t>2021 EIP</w:t>
      </w:r>
      <w:r>
        <w:rPr>
          <w:rFonts w:ascii="Arial" w:cs="Arial" w:eastAsia="Arial" w:hAnsi="Arial"/>
          <w:sz w:val="18"/>
          <w:szCs w:val="18"/>
          <w:color w:val="auto"/>
        </w:rPr>
        <w:t>”) and (b) 100,000 shares of Common Stock issuable pursuant to the Company’s 2021 Employee Stock Purchase Plan (together with the 2021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377" w:lineRule="exact"/>
        <w:rPr>
          <w:sz w:val="20"/>
          <w:szCs w:val="20"/>
          <w:color w:val="auto"/>
        </w:rPr>
      </w:pPr>
    </w:p>
    <w:p>
      <w:pPr>
        <w:jc w:val="center"/>
        <w:ind w:right="-19"/>
        <w:spacing w:after="0"/>
        <w:tabs>
          <w:tab w:leader="none" w:pos="100" w:val="left"/>
          <w:tab w:leader="none" w:pos="80" w:val="left"/>
          <w:tab w:leader="none" w:pos="100" w:val="left"/>
        </w:tabs>
        <w:rPr>
          <w:sz w:val="20"/>
          <w:szCs w:val="20"/>
          <w:color w:val="auto"/>
        </w:rPr>
      </w:pPr>
      <w:r>
        <w:rPr>
          <w:rFonts w:ascii="Arial" w:cs="Arial" w:eastAsia="Arial" w:hAnsi="Arial"/>
          <w:sz w:val="13"/>
          <w:szCs w:val="13"/>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65860"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Rani Therapeutics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2024</w:t>
      </w:r>
    </w:p>
    <w:p>
      <w:pPr>
        <w:spacing w:after="0"/>
        <w:rPr>
          <w:sz w:val="20"/>
          <w:szCs w:val="20"/>
          <w:color w:val="auto"/>
        </w:rPr>
      </w:pPr>
      <w:r>
        <w:rPr>
          <w:rFonts w:ascii="Arial" w:cs="Arial" w:eastAsia="Arial" w:hAnsi="Arial"/>
          <w:sz w:val="18"/>
          <w:szCs w:val="18"/>
          <w:color w:val="auto"/>
        </w:rPr>
        <w:t>Page Two</w:t>
      </w: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Cooley LLP</w:t>
      </w:r>
    </w:p>
    <w:p>
      <w:pPr>
        <w:spacing w:after="0" w:line="26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tab/>
        <w:t>/s/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17780</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Josh Seidenfeld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100" w:val="left"/>
          <w:tab w:leader="none" w:pos="80" w:val="left"/>
          <w:tab w:leader="none" w:pos="100" w:val="left"/>
        </w:tabs>
        <w:rPr>
          <w:sz w:val="20"/>
          <w:szCs w:val="20"/>
          <w:color w:val="auto"/>
        </w:rPr>
      </w:pPr>
      <w:r>
        <w:rPr>
          <w:rFonts w:ascii="Arial" w:cs="Arial" w:eastAsia="Arial" w:hAnsi="Arial"/>
          <w:sz w:val="13"/>
          <w:szCs w:val="13"/>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(650) 843-5000 f: (650) 849-7400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Rani Therapeutics Holdings, Inc. 2021 Equity Incentive Plan and Rani Therapeutics Holdings, Inc. 2021 Employee Stock Purchase Plan of Rani Therapeutics Holdings, Inc. of our report dated March 20, 2024, with respect to the consolidated financial statements of Rani Therapeutics Holdings,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39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Rani Therapeutics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280" w:type="dxa"/>
            <w:vAlign w:val="bottom"/>
            <w:tcBorders>
              <w:top w:val="single" w:sz="8" w:color="auto"/>
              <w:left w:val="single" w:sz="8" w:color="auto"/>
              <w:right w:val="single" w:sz="8" w:color="auto"/>
            </w:tcBorders>
          </w:tcPr>
          <w:p>
            <w:pPr>
              <w:spacing w:after="0"/>
              <w:rPr>
                <w:sz w:val="13"/>
                <w:szCs w:val="13"/>
                <w:color w:val="auto"/>
              </w:rPr>
            </w:pPr>
          </w:p>
        </w:tc>
        <w:tc>
          <w:tcPr>
            <w:tcW w:w="39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Proposed</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98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11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3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to be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Type</w:t>
            </w:r>
          </w:p>
        </w:tc>
        <w:tc>
          <w:tcPr>
            <w:tcW w:w="3920" w:type="dxa"/>
            <w:vAlign w:val="bottom"/>
            <w:tcBorders>
              <w:right w:val="single" w:sz="8" w:color="auto"/>
            </w:tcBorders>
            <w:vMerge w:val="restart"/>
          </w:tcPr>
          <w:p>
            <w:pPr>
              <w:ind w:left="1360"/>
              <w:spacing w:after="0"/>
              <w:rPr>
                <w:sz w:val="20"/>
                <w:szCs w:val="20"/>
                <w:color w:val="auto"/>
              </w:rPr>
            </w:pPr>
            <w:r>
              <w:rPr>
                <w:rFonts w:ascii="Times New Roman" w:cs="Times New Roman" w:eastAsia="Times New Roman" w:hAnsi="Times New Roman"/>
                <w:sz w:val="14"/>
                <w:szCs w:val="14"/>
                <w:color w:val="auto"/>
              </w:rPr>
              <w:t>Security Class Title</w:t>
            </w:r>
          </w:p>
        </w:tc>
        <w:tc>
          <w:tcPr>
            <w:tcW w:w="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Calculation</w:t>
            </w:r>
          </w:p>
        </w:tc>
        <w:tc>
          <w:tcPr>
            <w:tcW w:w="11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Price Per</w:t>
            </w:r>
          </w:p>
        </w:tc>
        <w:tc>
          <w:tcPr>
            <w:tcW w:w="13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Aggregate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8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Registrati</w:t>
            </w:r>
          </w:p>
        </w:tc>
        <w:tc>
          <w:tcPr>
            <w:tcW w:w="0" w:type="dxa"/>
            <w:vAlign w:val="bottom"/>
          </w:tcPr>
          <w:p>
            <w:pPr>
              <w:spacing w:after="0"/>
              <w:rPr>
                <w:sz w:val="1"/>
                <w:szCs w:val="1"/>
                <w:color w:val="auto"/>
              </w:rPr>
            </w:pPr>
          </w:p>
        </w:tc>
      </w:tr>
      <w:tr>
        <w:trPr>
          <w:trHeight w:val="206"/>
        </w:trPr>
        <w:tc>
          <w:tcPr>
            <w:tcW w:w="12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920" w:type="dxa"/>
            <w:vAlign w:val="bottom"/>
            <w:tcBorders>
              <w:bottom w:val="single" w:sz="8" w:color="auto"/>
              <w:right w:val="single" w:sz="8" w:color="auto"/>
            </w:tcBorders>
            <w:vMerge w:val="continue"/>
          </w:tcPr>
          <w:p>
            <w:pPr>
              <w:spacing w:after="0"/>
              <w:rPr>
                <w:sz w:val="17"/>
                <w:szCs w:val="17"/>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w:t>
            </w:r>
          </w:p>
        </w:tc>
        <w:tc>
          <w:tcPr>
            <w:tcW w:w="1120" w:type="dxa"/>
            <w:vAlign w:val="bottom"/>
            <w:tcBorders>
              <w:bottom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4"/>
                <w:szCs w:val="14"/>
                <w:color w:val="auto"/>
                <w:w w:val="99"/>
              </w:rPr>
              <w:t>Registered</w:t>
            </w:r>
            <w:r>
              <w:rPr>
                <w:rFonts w:ascii="Times New Roman" w:cs="Times New Roman" w:eastAsia="Times New Roman" w:hAnsi="Times New Roman"/>
                <w:sz w:val="19"/>
                <w:szCs w:val="19"/>
                <w:color w:val="auto"/>
                <w:w w:val="99"/>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980" w:type="dxa"/>
            <w:vAlign w:val="bottom"/>
            <w:tcBorders>
              <w:bottom w:val="single" w:sz="8" w:color="auto"/>
              <w:right w:val="single" w:sz="8" w:color="auto"/>
            </w:tcBorders>
            <w:vMerge w:val="continue"/>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 Fee</w:t>
            </w:r>
          </w:p>
        </w:tc>
        <w:tc>
          <w:tcPr>
            <w:tcW w:w="0" w:type="dxa"/>
            <w:vAlign w:val="bottom"/>
          </w:tcPr>
          <w:p>
            <w:pPr>
              <w:spacing w:after="0"/>
              <w:rPr>
                <w:sz w:val="1"/>
                <w:szCs w:val="1"/>
                <w:color w:val="auto"/>
              </w:rPr>
            </w:pPr>
          </w:p>
        </w:tc>
      </w:tr>
      <w:tr>
        <w:trPr>
          <w:trHeight w:val="390"/>
        </w:trPr>
        <w:tc>
          <w:tcPr>
            <w:tcW w:w="128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Other</w:t>
            </w:r>
            <w:r>
              <w:rPr>
                <w:rFonts w:ascii="Times New Roman" w:cs="Times New Roman" w:eastAsia="Times New Roman" w:hAnsi="Times New Roman"/>
                <w:sz w:val="24"/>
                <w:szCs w:val="24"/>
                <w:color w:val="auto"/>
                <w:w w:val="93"/>
                <w:vertAlign w:val="superscript"/>
              </w:rPr>
              <w:t>(2)</w:t>
            </w:r>
          </w:p>
        </w:tc>
        <w:tc>
          <w:tcPr>
            <w:tcW w:w="112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8"/>
                <w:szCs w:val="18"/>
                <w:color w:val="auto"/>
              </w:rPr>
              <w:t>2,507,647</w:t>
            </w:r>
            <w:r>
              <w:rPr>
                <w:rFonts w:ascii="Times New Roman" w:cs="Times New Roman" w:eastAsia="Times New Roman" w:hAnsi="Times New Roman"/>
                <w:sz w:val="24"/>
                <w:szCs w:val="24"/>
                <w:color w:val="auto"/>
                <w:vertAlign w:val="superscript"/>
              </w:rPr>
              <w:t>(4)</w:t>
            </w:r>
          </w:p>
        </w:tc>
        <w:tc>
          <w:tcPr>
            <w:tcW w:w="9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$1,184.</w:t>
            </w: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Equity</w:t>
            </w:r>
          </w:p>
        </w:tc>
        <w:tc>
          <w:tcPr>
            <w:tcW w:w="3920" w:type="dxa"/>
            <w:vAlign w:val="bottom"/>
            <w:tcBorders>
              <w:right w:val="single" w:sz="8" w:color="auto"/>
            </w:tcBorders>
          </w:tcPr>
          <w:p>
            <w:pPr>
              <w:jc w:val="center"/>
              <w:ind w:right="12"/>
              <w:spacing w:after="0" w:line="181" w:lineRule="exact"/>
              <w:rPr>
                <w:sz w:val="20"/>
                <w:szCs w:val="20"/>
                <w:color w:val="auto"/>
              </w:rPr>
            </w:pPr>
            <w:r>
              <w:rPr>
                <w:rFonts w:ascii="Times New Roman" w:cs="Times New Roman" w:eastAsia="Times New Roman" w:hAnsi="Times New Roman"/>
                <w:sz w:val="18"/>
                <w:szCs w:val="18"/>
                <w:color w:val="auto"/>
                <w:w w:val="99"/>
              </w:rPr>
              <w:t>share, reserved for issuance pursuant to the 2021</w:t>
            </w:r>
          </w:p>
        </w:tc>
        <w:tc>
          <w:tcPr>
            <w:tcW w:w="90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$3.20</w:t>
            </w:r>
          </w:p>
        </w:tc>
        <w:tc>
          <w:tcPr>
            <w:tcW w:w="13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$8,024,470.40</w:t>
            </w:r>
          </w:p>
        </w:tc>
        <w:tc>
          <w:tcPr>
            <w:tcW w:w="9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.0001476</w:t>
            </w: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 Incentive Plan</w:t>
            </w:r>
          </w:p>
        </w:tc>
        <w:tc>
          <w:tcPr>
            <w:tcW w:w="9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right w:val="single" w:sz="8" w:color="auto"/>
            </w:tcBorders>
          </w:tcPr>
          <w:p>
            <w:pPr>
              <w:spacing w:after="0"/>
              <w:rPr>
                <w:sz w:val="4"/>
                <w:szCs w:val="4"/>
                <w:color w:val="auto"/>
              </w:rPr>
            </w:pPr>
          </w:p>
        </w:tc>
        <w:tc>
          <w:tcPr>
            <w:tcW w:w="39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28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Other</w:t>
            </w:r>
            <w:r>
              <w:rPr>
                <w:rFonts w:ascii="Times New Roman" w:cs="Times New Roman" w:eastAsia="Times New Roman" w:hAnsi="Times New Roman"/>
                <w:sz w:val="24"/>
                <w:szCs w:val="24"/>
                <w:color w:val="auto"/>
                <w:w w:val="93"/>
                <w:vertAlign w:val="superscript"/>
              </w:rPr>
              <w:t>(3)</w:t>
            </w:r>
          </w:p>
        </w:tc>
        <w:tc>
          <w:tcPr>
            <w:tcW w:w="1120" w:type="dxa"/>
            <w:vAlign w:val="bottom"/>
            <w:tcBorders>
              <w:right w:val="single" w:sz="8" w:color="auto"/>
            </w:tcBorders>
            <w:vMerge w:val="restart"/>
          </w:tcPr>
          <w:p>
            <w:pPr>
              <w:jc w:val="center"/>
              <w:ind w:right="99"/>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4"/>
                <w:szCs w:val="24"/>
                <w:color w:val="auto"/>
                <w:vertAlign w:val="superscript"/>
              </w:rPr>
              <w:t>(5)</w:t>
            </w:r>
          </w:p>
        </w:tc>
        <w:tc>
          <w:tcPr>
            <w:tcW w:w="9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9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share, reserved for issuance pursuant to the 2021</w:t>
            </w:r>
          </w:p>
        </w:tc>
        <w:tc>
          <w:tcPr>
            <w:tcW w:w="90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$272,000.00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.0001476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9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9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tcBorders>
          </w:tcPr>
          <w:p>
            <w:pPr>
              <w:spacing w:after="0"/>
              <w:rPr>
                <w:sz w:val="17"/>
                <w:szCs w:val="17"/>
                <w:color w:val="auto"/>
              </w:rPr>
            </w:pPr>
          </w:p>
        </w:tc>
        <w:tc>
          <w:tcPr>
            <w:tcW w:w="3920" w:type="dxa"/>
            <w:vAlign w:val="bottom"/>
          </w:tcPr>
          <w:p>
            <w:pPr>
              <w:jc w:val="center"/>
              <w:ind w:left="1552"/>
              <w:spacing w:after="0" w:line="205" w:lineRule="exact"/>
              <w:rPr>
                <w:sz w:val="20"/>
                <w:szCs w:val="20"/>
                <w:color w:val="auto"/>
              </w:rPr>
            </w:pPr>
            <w:r>
              <w:rPr>
                <w:rFonts w:ascii="Times New Roman" w:cs="Times New Roman" w:eastAsia="Times New Roman" w:hAnsi="Times New Roman"/>
                <w:sz w:val="18"/>
                <w:szCs w:val="18"/>
                <w:color w:val="auto"/>
                <w:w w:val="98"/>
              </w:rPr>
              <w:t>Total Offering Amounts</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$8,296,470.40</w:t>
            </w: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$1,224.</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tcBorders>
          </w:tcPr>
          <w:p>
            <w:pPr>
              <w:spacing w:after="0"/>
              <w:rPr>
                <w:sz w:val="10"/>
                <w:szCs w:val="10"/>
                <w:color w:val="auto"/>
              </w:rPr>
            </w:pPr>
          </w:p>
        </w:tc>
        <w:tc>
          <w:tcPr>
            <w:tcW w:w="3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115"/>
        </w:trPr>
        <w:tc>
          <w:tcPr>
            <w:tcW w:w="1280" w:type="dxa"/>
            <w:vAlign w:val="bottom"/>
            <w:tcBorders>
              <w:left w:val="single" w:sz="8" w:color="auto"/>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280" w:type="dxa"/>
            <w:vAlign w:val="bottom"/>
            <w:tcBorders>
              <w:left w:val="single" w:sz="8" w:color="auto"/>
              <w:bottom w:val="single" w:sz="8" w:color="auto"/>
            </w:tcBorders>
          </w:tcPr>
          <w:p>
            <w:pPr>
              <w:spacing w:after="0"/>
              <w:rPr>
                <w:sz w:val="20"/>
                <w:szCs w:val="20"/>
                <w:color w:val="auto"/>
              </w:rPr>
            </w:pPr>
          </w:p>
        </w:tc>
        <w:tc>
          <w:tcPr>
            <w:tcW w:w="3920" w:type="dxa"/>
            <w:vAlign w:val="bottom"/>
            <w:tcBorders>
              <w:bottom w:val="single" w:sz="8" w:color="auto"/>
            </w:tcBorders>
          </w:tcPr>
          <w:p>
            <w:pPr>
              <w:jc w:val="center"/>
              <w:ind w:left="1552"/>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tcPr>
          <w:p>
            <w:pPr>
              <w:spacing w:after="0"/>
              <w:rPr>
                <w:sz w:val="18"/>
                <w:szCs w:val="18"/>
                <w:color w:val="auto"/>
              </w:rPr>
            </w:pPr>
          </w:p>
        </w:tc>
        <w:tc>
          <w:tcPr>
            <w:tcW w:w="39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rPr>
              <w:t>Net Fee Due</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$1,224.</w:t>
            </w:r>
          </w:p>
        </w:tc>
        <w:tc>
          <w:tcPr>
            <w:tcW w:w="0" w:type="dxa"/>
            <w:vAlign w:val="bottom"/>
          </w:tcPr>
          <w:p>
            <w:pPr>
              <w:spacing w:after="0"/>
              <w:rPr>
                <w:sz w:val="1"/>
                <w:szCs w:val="1"/>
                <w:color w:val="auto"/>
              </w:rPr>
            </w:pPr>
          </w:p>
        </w:tc>
      </w:tr>
      <w:tr>
        <w:trPr>
          <w:trHeight w:val="241"/>
        </w:trPr>
        <w:tc>
          <w:tcPr>
            <w:tcW w:w="1280" w:type="dxa"/>
            <w:vAlign w:val="bottom"/>
            <w:tcBorders>
              <w:left w:val="single" w:sz="8" w:color="auto"/>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420" w:right="60" w:hanging="358"/>
        <w:spacing w:after="0" w:line="259"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Class A common stock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Registrant’s 2021 Equity Incentive Place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or the Registrant’s 2021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by reason of any stock dividend, stock split, recapitalization or any other similar transaction effected without receipt of consideration which results in an increase in the number of outstanding shares of Class A Common Stock.</w:t>
      </w:r>
    </w:p>
    <w:p>
      <w:pPr>
        <w:spacing w:after="0" w:line="102" w:lineRule="exact"/>
        <w:rPr>
          <w:rFonts w:ascii="Times New Roman" w:cs="Times New Roman" w:eastAsia="Times New Roman" w:hAnsi="Times New Roman"/>
          <w:sz w:val="18"/>
          <w:szCs w:val="18"/>
          <w:color w:val="auto"/>
        </w:rPr>
      </w:pPr>
    </w:p>
    <w:p>
      <w:pPr>
        <w:jc w:val="both"/>
        <w:ind w:left="420" w:right="60" w:hanging="358"/>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solely for the purpose of calculating the registration fee on the basis of $3.20 per share, which is the average of the high and low prices of the Class A Common Stock as reported on The Nasdaq Global Market on March 14, 2024 (rounded up to the nearest cent).</w:t>
      </w:r>
    </w:p>
    <w:p>
      <w:pPr>
        <w:spacing w:after="0" w:line="94" w:lineRule="exact"/>
        <w:rPr>
          <w:rFonts w:ascii="Times New Roman" w:cs="Times New Roman" w:eastAsia="Times New Roman" w:hAnsi="Times New Roman"/>
          <w:sz w:val="18"/>
          <w:szCs w:val="18"/>
          <w:color w:val="auto"/>
        </w:rPr>
      </w:pPr>
    </w:p>
    <w:p>
      <w:pPr>
        <w:jc w:val="both"/>
        <w:ind w:left="420" w:right="60" w:hanging="358"/>
        <w:spacing w:after="0" w:line="266"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solely for the purpose of calculating the registration fee on the basis of $2.72 per share, which is the average of the high and low prices of the Class A Common Stock as reported on The Nasdaq Global Market on March 14, 2024 (rounded up to the nearest cent), multiplied by 85%, which is the percentage of the price per share applicable to purchasers under the 2021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both"/>
        <w:ind w:left="358" w:hanging="358"/>
        <w:spacing w:after="0" w:line="256" w:lineRule="auto"/>
        <w:tabs>
          <w:tab w:leader="none" w:pos="3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Class A Common Stock reserved for future grant under the 2021 Plan as a result of the automatic increase in shares reserved thereunder on January 1, 2024 pursuant to an “evergreen” provision contained in the 2021 Plan. Pursuant to such provision, an additional number of shares will automatically be added annually to the shares authorized for issuance under the 2021 Plan on January 1st of each calendar year, starting on January 1, 2022 and ending on (and including) January 1, 2031, in an amount equal to: (a) 5% of the total number of shares of all classes of the Registrant’s common stock outstanding on December 31st of the immediately preceding calendar year; or (b) a lesser number of shares as the Registrant’s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designate no later than December 31st of the immediately preceding year.</w:t>
      </w:r>
    </w:p>
    <w:p>
      <w:pPr>
        <w:spacing w:after="0" w:line="106" w:lineRule="exact"/>
        <w:rPr>
          <w:rFonts w:ascii="Times New Roman" w:cs="Times New Roman" w:eastAsia="Times New Roman" w:hAnsi="Times New Roman"/>
          <w:sz w:val="18"/>
          <w:szCs w:val="18"/>
          <w:color w:val="auto"/>
        </w:rPr>
      </w:pPr>
    </w:p>
    <w:p>
      <w:pPr>
        <w:jc w:val="both"/>
        <w:ind w:left="358" w:hanging="358"/>
        <w:spacing w:after="0" w:line="254" w:lineRule="auto"/>
        <w:tabs>
          <w:tab w:leader="none" w:pos="3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Class A Common Stock reserved for issuance under the ESPP as a result of the automatic increase in shares reserved thereunder on January 1, 2024 pursuant to an “evergreen” provision contained in the ESPP. Pursuant to such provision, an additional number of shares will automatically be added annually to the shares authorized for issuance under the ESPP on January 1st of each calendar year, starting on January 1, 2022 and ending on (and including) January 1, 2031. The number of shares added each year will be equal to the lesser of: (a) 1% of the total number of shares of all classes of the Registrant’s common stock outstanding on December 31st of the immediately preceding calendar year; (b) 100,000 shares; or (c) a lesser number of shares as the Board may designate no later than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immediately preceding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909320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8"/>
          </w:cols>
          <w:pgMar w:left="382" w:top="1431" w:right="39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eg"/><Relationship Id="rId35" Type="http://schemas.openxmlformats.org/officeDocument/2006/relationships/image" Target="media/image18.png"/><Relationship Id="rId36" Type="http://schemas.openxmlformats.org/officeDocument/2006/relationships/image" Target="media/image19.jpe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18" Type="http://schemas.openxmlformats.org/officeDocument/2006/relationships/hyperlink" Target="https://www.sec.gov/Archives/edgar/data/0001856725/000119312521235042/d161667ds8.htm" TargetMode="External"/><Relationship Id="rId19" Type="http://schemas.openxmlformats.org/officeDocument/2006/relationships/hyperlink" Target="https://www.sec.gov/Archives/edgar/data/1856725/000119312522091767/d266622ds8.htm" TargetMode="External"/><Relationship Id="rId20" Type="http://schemas.openxmlformats.org/officeDocument/2006/relationships/hyperlink" Target="https://www.sec.gov/Archives/edgar/data/1856725/000095017023009189/2023_form_s-8.htm" TargetMode="External"/><Relationship Id="rId22" Type="http://schemas.openxmlformats.org/officeDocument/2006/relationships/hyperlink" Target="https://www.sec.gov/Archives/edgar/data/1856725/000119312521223596/d151628dex31.htm" TargetMode="External"/><Relationship Id="rId23" Type="http://schemas.openxmlformats.org/officeDocument/2006/relationships/hyperlink" Target="https://www.sec.gov/Archives/edgar/data/1856725/000119312521211922/d151628dex34.htm" TargetMode="External"/><Relationship Id="rId24" Type="http://schemas.openxmlformats.org/officeDocument/2006/relationships/hyperlink" Target="https://www.sec.gov/Archives/edgar/data/1856725/000119312521223596/d151628dex41.htm" TargetMode="External"/><Relationship Id="rId25" Type="http://schemas.openxmlformats.org/officeDocument/2006/relationships/hyperlink" Target="https://www.sec.gov/Archives/edgar/data/1856725/000119312521211922/d151628dex105.htm" TargetMode="External"/><Relationship Id="rId26" Type="http://schemas.openxmlformats.org/officeDocument/2006/relationships/hyperlink" Target="https://www.sec.gov/Archives/edgar/data/1856725/000119312521223596/d151628dex107.htm" TargetMode="External"/><Relationship Id="rId27" Type="http://schemas.openxmlformats.org/officeDocument/2006/relationships/hyperlink" Target="https://www.sec.gov/Archives/edgar/data/1856725/000095017022005088/rani-ex10_8.htm" TargetMode="External"/><Relationship Id="rId28" Type="http://schemas.openxmlformats.org/officeDocument/2006/relationships/hyperlink" Target="https://www.sec.gov/Archives/edgar/data/1856725/000119312521223596/d15162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2024-03-20T16:40:12Z</dcterms:created>
  <dcterms:modified xsi:type="dcterms:W3CDTF">2024-03-20T16:40:12Z</dcterms:modified>
</cp:coreProperties>
</file>