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753018100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Orca Capital AG</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GERMANY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1,891,623.00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1,891,623.00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1,891,623.00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880"/>
          </w:cols>
          <w:pgMar w:left="320" w:top="166" w:right="5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All ownership percentages set forth in this Schedule 13G are calculated based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aggregate of 43,606,522 shares of Class A Common Stock outstanding.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Rani Therapeutics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2051 Ringwood Ave., San Jose, California 95131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Orca Capital AG</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Sperlring 2 85276 Hettenshausen Deutschland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Germany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753018100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1040"/>
          </w:cols>
          <w:pgMar w:left="320" w:top="166" w:right="53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1,891,623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1,891,623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1,891,623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Orca Capital AG</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Konig</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Thomas Konig/Director</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280"/>
        <w:spacing w:after="0"/>
        <w:tabs>
          <w:tab w:leader="none" w:pos="33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07/23/2025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2025-07-23T15:13:53Z</dcterms:created>
  <dcterms:modified xsi:type="dcterms:W3CDTF">2025-07-23T15:13:53Z</dcterms:modified>
</cp:coreProperties>
</file>