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94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Imran Talat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947"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94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1,122,283</w:t>
            </w:r>
          </w:p>
        </w:tc>
        <w:tc>
          <w:tcPr>
            <w:tcW w:w="860" w:type="dxa"/>
            <w:vAlign w:val="bottom"/>
            <w:tcBorders>
              <w:bottom w:val="single" w:sz="8" w:color="2C2C2C"/>
            </w:tcBorders>
          </w:tcPr>
          <w:p>
            <w:pPr>
              <w:ind w:left="780"/>
              <w:spacing w:after="0"/>
              <w:rPr>
                <w:sz w:val="20"/>
                <w:szCs w:val="20"/>
                <w:color w:val="auto"/>
              </w:rPr>
            </w:pPr>
            <w:r>
              <w:rPr>
                <w:rFonts w:ascii="Arial" w:cs="Arial" w:eastAsia="Arial" w:hAnsi="Arial"/>
                <w:sz w:val="20"/>
                <w:szCs w:val="20"/>
                <w:color w:val="0000FF"/>
              </w:rPr>
              <w:t>I</w:t>
            </w:r>
          </w:p>
        </w:tc>
        <w:tc>
          <w:tcPr>
            <w:tcW w:w="1920" w:type="dxa"/>
            <w:vAlign w:val="bottom"/>
            <w:tcBorders>
              <w:bottom w:val="single" w:sz="8" w:color="2C2C2C"/>
            </w:tcBorders>
            <w:gridSpan w:val="2"/>
          </w:tcPr>
          <w:p>
            <w:pPr>
              <w:ind w:left="62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Class A Common LLC Units</w:t>
            </w:r>
            <w:r>
              <w:rPr>
                <w:rFonts w:ascii="Arial" w:cs="Arial" w:eastAsia="Arial" w:hAnsi="Arial"/>
                <w:sz w:val="25"/>
                <w:szCs w:val="25"/>
                <w:color w:val="008000"/>
                <w:w w:val="98"/>
                <w:vertAlign w:val="superscript"/>
              </w:rPr>
              <w:t>(2)</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8"/>
              <w:spacing w:after="0"/>
              <w:rPr>
                <w:sz w:val="20"/>
                <w:szCs w:val="20"/>
                <w:color w:val="auto"/>
              </w:rPr>
            </w:pPr>
            <w:r>
              <w:rPr>
                <w:rFonts w:ascii="Arial" w:cs="Arial" w:eastAsia="Arial" w:hAnsi="Arial"/>
                <w:sz w:val="13"/>
                <w:szCs w:val="13"/>
                <w:color w:val="008000"/>
              </w:rPr>
              <w:t>(2)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right"/>
              <w:ind w:right="37"/>
              <w:spacing w:after="0"/>
              <w:rPr>
                <w:sz w:val="20"/>
                <w:szCs w:val="20"/>
                <w:color w:val="auto"/>
              </w:rPr>
            </w:pPr>
            <w:r>
              <w:rPr>
                <w:rFonts w:ascii="Arial" w:cs="Arial" w:eastAsia="Arial" w:hAnsi="Arial"/>
                <w:sz w:val="20"/>
                <w:szCs w:val="20"/>
                <w:color w:val="0000FF"/>
              </w:rPr>
              <w:t>66,736</w:t>
            </w:r>
          </w:p>
        </w:tc>
        <w:tc>
          <w:tcPr>
            <w:tcW w:w="1000" w:type="dxa"/>
            <w:vAlign w:val="bottom"/>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vMerge w:val="continue"/>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color w:val="0000FF"/>
              </w:rPr>
              <w:t>07/28/2031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106,726</w:t>
            </w:r>
          </w:p>
        </w:tc>
        <w:tc>
          <w:tcPr>
            <w:tcW w:w="1000" w:type="dxa"/>
            <w:vAlign w:val="bottom"/>
            <w:vMerge w:val="restart"/>
          </w:tcPr>
          <w:p>
            <w:pPr>
              <w:jc w:val="right"/>
              <w:ind w:right="241"/>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512,180 shares of Class A Common Stock of the Issuer ("Class A Shares") held by Biologix Partners, LP and 610,103 Class A Shares held by VH Rani, LP. The Reporting Person disclaims beneficial ownership of these securities except to the extent of his pecuniary interest therein.</w:t>
      </w:r>
    </w:p>
    <w:p>
      <w:pPr>
        <w:spacing w:after="0" w:line="26" w:lineRule="exact"/>
        <w:rPr>
          <w:rFonts w:ascii="Arial" w:cs="Arial" w:eastAsia="Arial" w:hAnsi="Arial"/>
          <w:sz w:val="15"/>
          <w:szCs w:val="15"/>
          <w:color w:val="008000"/>
        </w:rPr>
      </w:pPr>
    </w:p>
    <w:p>
      <w:pPr>
        <w:ind w:left="40" w:right="22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Class A Common LLC Units of Rani Therapeutics, LLC, a direct subsidiary of the Issuer. The Class A Common LLC Units are exchangeable for shares of Class A Common Stock on a one-for-one basis at the discretion of the holder, subject to certain exceptions, conditions and adjustments, and have no expiration date.</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1/48th of the shares subject to the option vest monthly over four years from June 17,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Josh Seidenfeld,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Talat  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Imran</w:t>
            </w:r>
          </w:p>
        </w:tc>
        <w:tc>
          <w:tcPr>
            <w:tcW w:w="156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4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Talat Imran</w:t>
      </w:r>
    </w:p>
    <w:p>
      <w:pPr>
        <w:spacing w:after="0" w:line="238" w:lineRule="auto"/>
        <w:rPr>
          <w:sz w:val="20"/>
          <w:szCs w:val="20"/>
          <w:color w:val="auto"/>
        </w:rPr>
      </w:pPr>
      <w:r>
        <w:rPr>
          <w:rFonts w:ascii="Courier New" w:cs="Courier New" w:eastAsia="Courier New" w:hAnsi="Courier New"/>
          <w:sz w:val="20"/>
          <w:szCs w:val="20"/>
          <w:color w:val="auto"/>
        </w:rPr>
        <w:t>Talat Imran</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579"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2021-07-29T20:45:08Z</dcterms:created>
  <dcterms:modified xsi:type="dcterms:W3CDTF">2021-07-29T20:45:08Z</dcterms:modified>
</cp:coreProperties>
</file>