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ind w:left="39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35"/>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001-40672</w:t>
            </w:r>
          </w:p>
        </w:tc>
        <w:tc>
          <w:tcPr>
            <w:tcW w:w="20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86-3114789</w:t>
            </w:r>
          </w:p>
        </w:tc>
      </w:tr>
      <w:tr>
        <w:trPr>
          <w:trHeight w:val="149"/>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2051 Ringwood Avenue</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328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95131</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45"/>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20" w:type="dxa"/>
            <w:vAlign w:val="bottom"/>
          </w:tcPr>
          <w:p>
            <w:pPr>
              <w:spacing w:after="0"/>
              <w:rPr>
                <w:sz w:val="21"/>
                <w:szCs w:val="21"/>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RANI</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4.01 Changes in Registrant’s Certifying Accountant.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Dismissal of Independent Registered Public Accounting Firm</w:t>
      </w:r>
    </w:p>
    <w:p>
      <w:pPr>
        <w:spacing w:after="0" w:line="18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of Directors (the “Audit Committee”) of Rani Therapeutics Holdings, Inc. (the “Company”) approved the dismissal of Ernst &amp; Young LLP (“EY”) as the Company’s independent registered public accounting firm on September 10, 2024.</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reports of EY on the Company’s consolidated financial statements for the fiscal years ended December 31, 2022 and December 31, 2023 did not contain an adverse opinion or a disclaimer of opinion, and were not qualified or modified as to uncertainty, audit scope or accounting principles, except that the report of the Company’s consolidated financial statements for the year ended December 31, 2023 contained an explanatory paragraph which noted that there was substantial doubt about the Company’s ability to continue as a going concern.</w:t>
      </w:r>
    </w:p>
    <w:p>
      <w:pPr>
        <w:spacing w:after="0" w:line="139"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During the fiscal years ended December 31, 2022 and December 31, 2023, and the subsequent interim period through September 10, 2024, there have been no “disagreements” (as defined in Item 304(a)(1)(iv) of Regulation S-K and the rules and regulations of the U.S. Securities and Exchange Commission (the “SEC”)) with EY on any matter of accounting principles or practices, financial statement disclosure or auditing scope or procedure, which disagreements if not resolved to the satisfaction of EY would have caused EY to make reference there in its reports on the consolidated financing statements for such years. During the fiscal years ended December 31, 2022 and December 31, 2023, and subsequent interim period through September 10, 2024, there have been no “reportable events” (as defined in Item 304(a)(1)(v) of Regulation S-K).</w:t>
      </w:r>
    </w:p>
    <w:p>
      <w:pPr>
        <w:spacing w:after="0" w:line="14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provided EY with a copy of the disclosure it is making herein in response to Item 304(a) of Regulation S-K, and requested that EY furnish the Company with a copy of its letter addressed to the SEC, pursuant to Item 304(a)(3) of Regulation S-K, stating whether or not EY agrees with the statements related to them made by the Company in this report. A copy of EY's letter to the SEC dated September 11, 2024 is attached as Exhibit 16.1 to this report.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Newly Engaged Independent Registered Public Accounting Firm</w:t>
      </w:r>
    </w:p>
    <w:p>
      <w:pPr>
        <w:spacing w:after="0" w:line="18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Audit Committee, following careful deliberation, approved the appointment of Marcum LLP ("Marcum") as the Company's new independent registered public accounting firm on September 10, 2024, with immediate effect, for the fiscal year ending December 31, 2024. During the fiscal years ended December 31, 2022 and December 31, 2023 and the subsequent interim period through September 10, 2024, neither the Company, nor anyone on its behalf, consulted Marcum regarding either (i) the application of accounting principles to a specified transaction, either completed or proposed, or the type of audit opinion that might be rendered with respect to the consolidated financial statements of the Company, and no written report or oral advice was provided to the Company by Marcum that was an important factor considered by the Company in reaching a decision as to any accounting, auditing or financial reporting issue; or (ii) any matter that was the subject of a "disagreement" (as defined in Item 304(a)(1)(iv) of Regulation S-K and the related instructions) or a “reportable event” (as that term is defined in Item 304(a)(1)(v) of Regulation S-K).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45"/>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60" w:type="dxa"/>
            <w:vAlign w:val="bottom"/>
          </w:tcPr>
          <w:p>
            <w:pPr>
              <w:spacing w:after="0"/>
              <w:rPr>
                <w:sz w:val="21"/>
                <w:szCs w:val="21"/>
                <w:color w:val="auto"/>
              </w:rPr>
            </w:pPr>
          </w:p>
        </w:tc>
        <w:tc>
          <w:tcPr>
            <w:tcW w:w="10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75"/>
        </w:trPr>
        <w:tc>
          <w:tcPr>
            <w:tcW w:w="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16.1</w:t>
            </w:r>
          </w:p>
        </w:tc>
        <w:tc>
          <w:tcPr>
            <w:tcW w:w="260" w:type="dxa"/>
            <w:vAlign w:val="bottom"/>
          </w:tcPr>
          <w:p>
            <w:pPr>
              <w:spacing w:after="0"/>
              <w:rPr>
                <w:sz w:val="15"/>
                <w:szCs w:val="15"/>
                <w:color w:val="auto"/>
              </w:rPr>
            </w:pPr>
          </w:p>
        </w:tc>
        <w:tc>
          <w:tcPr>
            <w:tcW w:w="101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FF"/>
              </w:rPr>
              <w:t>Letter of Ernst &amp; Young LLP to the Securities and Exchange Commission dated September 11, 2024</w:t>
            </w: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240" w:type="dxa"/>
            <w:vAlign w:val="bottom"/>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5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1"/>
                <w:szCs w:val="21"/>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93"/>
        </w:trPr>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September 11,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Svai Sanford</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We have read Item 4.01 of Form 8-K dated September 11, 2024, of Rani Therapeutics Holdings, Inc. and are in agreement with the statements contained in paragraphs one through four therein under (a) </w:t>
      </w:r>
      <w:r>
        <w:rPr>
          <w:rFonts w:ascii="Times New Roman" w:cs="Times New Roman" w:eastAsia="Times New Roman" w:hAnsi="Times New Roman"/>
          <w:sz w:val="18"/>
          <w:szCs w:val="18"/>
          <w:i w:val="1"/>
          <w:iCs w:val="1"/>
          <w:color w:val="auto"/>
        </w:rPr>
        <w:t>Dismissal of Independent Registered Public Accounting Firm</w:t>
      </w:r>
      <w:r>
        <w:rPr>
          <w:rFonts w:ascii="Times New Roman" w:cs="Times New Roman" w:eastAsia="Times New Roman" w:hAnsi="Times New Roman"/>
          <w:sz w:val="18"/>
          <w:szCs w:val="18"/>
          <w:color w:val="auto"/>
        </w:rPr>
        <w:t>. We have no basis to agree or disagree with other statements of the registrant contained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2024-09-11T15:45:05Z</dcterms:created>
  <dcterms:modified xsi:type="dcterms:W3CDTF">2024-09-11T15:45:05Z</dcterms:modified>
</cp:coreProperties>
</file>