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52"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880" w:right="1600" w:hanging="2859"/>
        <w:spacing w:after="0" w:line="360"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ectPr>
          <w:pgSz w:w="11900" w:h="16838" w:orient="portrait"/>
          <w:cols w:equalWidth="0" w:num="1">
            <w:col w:w="11240"/>
          </w:cols>
          <w:pgMar w:left="320" w:top="638"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86-3114789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700" w:space="240"/>
            <w:col w:w="3300"/>
          </w:cols>
          <w:pgMar w:left="320" w:top="638" w:right="339" w:bottom="1440" w:gutter="0" w:footer="0" w:header="0"/>
          <w:type w:val="continuous"/>
        </w:sectPr>
      </w:pPr>
    </w:p>
    <w:p>
      <w:pPr>
        <w:ind w:left="1920"/>
        <w:spacing w:after="0"/>
        <w:rPr>
          <w:sz w:val="20"/>
          <w:szCs w:val="20"/>
          <w:color w:val="auto"/>
        </w:rPr>
      </w:pPr>
      <w:r>
        <w:rPr>
          <w:rFonts w:ascii="Arial" w:cs="Arial" w:eastAsia="Arial" w:hAnsi="Arial"/>
          <w:sz w:val="18"/>
          <w:szCs w:val="18"/>
          <w:b w:val="1"/>
          <w:bCs w:val="1"/>
          <w:color w:val="auto"/>
        </w:rPr>
        <w:t>2051 Ringwood Avenue</w:t>
      </w:r>
    </w:p>
    <w:p>
      <w:pPr>
        <w:ind w:left="2040"/>
        <w:spacing w:after="0"/>
        <w:tabs>
          <w:tab w:leader="none" w:pos="8180" w:val="left"/>
        </w:tabs>
        <w:rPr>
          <w:sz w:val="20"/>
          <w:szCs w:val="20"/>
          <w:color w:val="auto"/>
        </w:rPr>
      </w:pPr>
      <w:r>
        <w:rPr>
          <w:rFonts w:ascii="Arial" w:cs="Arial" w:eastAsia="Arial" w:hAnsi="Arial"/>
          <w:sz w:val="18"/>
          <w:szCs w:val="18"/>
          <w:b w:val="1"/>
          <w:bCs w:val="1"/>
          <w:color w:val="auto"/>
        </w:rPr>
        <w:t>San Jose, California</w:t>
      </w:r>
      <w:r>
        <w:rPr>
          <w:sz w:val="20"/>
          <w:szCs w:val="20"/>
          <w:color w:val="auto"/>
        </w:rPr>
        <w:tab/>
      </w:r>
      <w:r>
        <w:rPr>
          <w:rFonts w:ascii="Arial" w:cs="Arial" w:eastAsia="Arial" w:hAnsi="Arial"/>
          <w:sz w:val="16"/>
          <w:szCs w:val="16"/>
          <w:b w:val="1"/>
          <w:bCs w:val="1"/>
          <w:color w:val="auto"/>
        </w:rPr>
        <w:t>95131</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RANI</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2"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200" w:firstLine="599"/>
        <w:spacing w:after="0" w:line="238" w:lineRule="auto"/>
        <w:rPr>
          <w:sz w:val="20"/>
          <w:szCs w:val="20"/>
          <w:color w:val="auto"/>
        </w:rPr>
      </w:pPr>
      <w:r>
        <w:rPr>
          <w:rFonts w:ascii="Arial" w:cs="Arial" w:eastAsia="Arial" w:hAnsi="Arial"/>
          <w:sz w:val="16"/>
          <w:szCs w:val="16"/>
          <w:color w:val="auto"/>
        </w:rPr>
        <w:t>As of May 9, 2022, the registrant had 24,488,633 shares of Class A common stock, $0.0001 par value per share, outstanding, 24,671,683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1,387,471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8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vMerge w:val="restart"/>
          </w:tcPr>
          <w:p>
            <w:pPr>
              <w:spacing w:after="0"/>
              <w:rPr>
                <w:sz w:val="24"/>
                <w:szCs w:val="24"/>
                <w:color w:val="auto"/>
              </w:rPr>
            </w:pPr>
          </w:p>
        </w:tc>
        <w:tc>
          <w:tcPr>
            <w:tcW w:w="3880" w:type="dxa"/>
            <w:vAlign w:val="bottom"/>
            <w:gridSpan w:val="11"/>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Special Note Regarding Forward-Looking Statements</w:t>
              </w:r>
            </w:hyperlink>
          </w:p>
        </w:tc>
        <w:tc>
          <w:tcPr>
            <w:tcW w:w="6560" w:type="dxa"/>
            <w:vAlign w:val="bottom"/>
            <w:gridSpan w:val="9"/>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880" w:type="dxa"/>
            <w:vAlign w:val="bottom"/>
            <w:tcBorders>
              <w:bottom w:val="single" w:sz="8" w:color="0000FF"/>
            </w:tcBorders>
            <w:gridSpan w:val="11"/>
            <w:vMerge w:val="continue"/>
          </w:tcPr>
          <w:p>
            <w:pPr>
              <w:spacing w:after="0"/>
              <w:rPr>
                <w:sz w:val="13"/>
                <w:szCs w:val="13"/>
                <w:color w:val="auto"/>
              </w:rPr>
            </w:pPr>
          </w:p>
        </w:tc>
        <w:tc>
          <w:tcPr>
            <w:tcW w:w="6560" w:type="dxa"/>
            <w:vAlign w:val="bottom"/>
            <w:gridSpan w:val="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9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b w:val="1"/>
                <w:bCs w:val="1"/>
                <w:color w:val="auto"/>
              </w:rPr>
              <w:t>RANI THERAPEUTICS HOLDINGS,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860" w:type="dxa"/>
            <w:vAlign w:val="bottom"/>
            <w:gridSpan w:val="10"/>
            <w:vMerge w:val="restart"/>
          </w:tcPr>
          <w:p>
            <w:pPr>
              <w:ind w:lef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8"/>
          </w:tcPr>
          <w:p>
            <w:pPr>
              <w:spacing w:after="0" w:line="16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w:t>
              </w:r>
            </w:hyperlink>
          </w:p>
        </w:tc>
        <w:tc>
          <w:tcPr>
            <w:tcW w:w="686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380" w:type="dxa"/>
            <w:vAlign w:val="bottom"/>
            <w:gridSpan w:val="8"/>
            <w:vMerge w:val="restart"/>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Operations and Comprehensive Loss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10"/>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380" w:type="dxa"/>
            <w:vAlign w:val="bottom"/>
            <w:gridSpan w:val="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8"/>
          </w:tcPr>
          <w:p>
            <w:pPr>
              <w:spacing w:after="0" w:line="169" w:lineRule="exact"/>
              <w:rPr>
                <w:rFonts w:ascii="Arial" w:cs="Arial" w:eastAsia="Arial" w:hAnsi="Arial"/>
                <w:sz w:val="18"/>
                <w:szCs w:val="18"/>
                <w:color w:val="0000FF"/>
                <w:w w:val="94"/>
              </w:rPr>
            </w:pPr>
            <w:hyperlink w:anchor="page7">
              <w:r>
                <w:rPr>
                  <w:rFonts w:ascii="Arial" w:cs="Arial" w:eastAsia="Arial" w:hAnsi="Arial"/>
                  <w:sz w:val="18"/>
                  <w:szCs w:val="18"/>
                  <w:color w:val="0000FF"/>
                  <w:w w:val="94"/>
                </w:rPr>
                <w:t>Condensed Consolidated Statements of Changes in Stockholders’ Equity/Convertible Preferred Units and Members' Deficit</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900" w:type="dxa"/>
            <w:vAlign w:val="bottom"/>
            <w:gridSpan w:val="17"/>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8"/>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300" w:type="dxa"/>
            <w:vAlign w:val="bottom"/>
            <w:gridSpan w:val="18"/>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6460" w:type="dxa"/>
            <w:vAlign w:val="bottom"/>
            <w:gridSpan w:val="16"/>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2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4360" w:type="dxa"/>
            <w:vAlign w:val="bottom"/>
            <w:gridSpan w:val="13"/>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49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3"/>
            <w:vMerge w:val="continue"/>
          </w:tcPr>
          <w:p>
            <w:pPr>
              <w:spacing w:after="0"/>
              <w:rPr>
                <w:sz w:val="24"/>
                <w:szCs w:val="24"/>
                <w:color w:val="auto"/>
              </w:rPr>
            </w:pPr>
          </w:p>
        </w:tc>
        <w:tc>
          <w:tcPr>
            <w:tcW w:w="93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1320" w:type="dxa"/>
            <w:vAlign w:val="bottom"/>
            <w:gridSpan w:val="4"/>
          </w:tcPr>
          <w:p>
            <w:pPr>
              <w:spacing w:after="0" w:line="169" w:lineRule="exact"/>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1000" w:type="dxa"/>
            <w:vAlign w:val="bottom"/>
            <w:gridSpan w:val="3"/>
            <w:vMerge w:val="continue"/>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4960" w:type="dxa"/>
            <w:vAlign w:val="bottom"/>
            <w:gridSpan w:val="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Sales of Equity Securities and Use of Proceeds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0" w:type="dxa"/>
            <w:vAlign w:val="bottom"/>
            <w:gridSpan w:val="2"/>
          </w:tcPr>
          <w:p>
            <w:pPr>
              <w:spacing w:after="0" w:line="169" w:lineRule="exact"/>
              <w:rPr>
                <w:rFonts w:ascii="Arial" w:cs="Arial" w:eastAsia="Arial" w:hAnsi="Arial"/>
                <w:sz w:val="18"/>
                <w:szCs w:val="18"/>
                <w:color w:val="0000FF"/>
                <w:w w:val="85"/>
              </w:rPr>
            </w:pPr>
            <w:hyperlink w:anchor="page35">
              <w:r>
                <w:rPr>
                  <w:rFonts w:ascii="Arial" w:cs="Arial" w:eastAsia="Arial" w:hAnsi="Arial"/>
                  <w:sz w:val="18"/>
                  <w:szCs w:val="18"/>
                  <w:color w:val="0000FF"/>
                  <w:w w:val="85"/>
                </w:rPr>
                <w:t>Unregistered</w:t>
              </w:r>
            </w:hyperlink>
          </w:p>
        </w:tc>
        <w:tc>
          <w:tcPr>
            <w:tcW w:w="8380" w:type="dxa"/>
            <w:vAlign w:val="bottom"/>
            <w:gridSpan w:val="1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4340" w:type="dxa"/>
            <w:vAlign w:val="bottom"/>
            <w:gridSpan w:val="12"/>
          </w:tcPr>
          <w:p>
            <w:pPr>
              <w:spacing w:after="0" w:line="169" w:lineRule="exact"/>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4960" w:type="dxa"/>
            <w:vAlign w:val="bottom"/>
            <w:gridSpan w:val="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980" w:type="dxa"/>
            <w:vAlign w:val="bottom"/>
            <w:gridSpan w:val="11"/>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2320" w:type="dxa"/>
            <w:vAlign w:val="bottom"/>
            <w:gridSpan w:val="7"/>
          </w:tcPr>
          <w:p>
            <w:pPr>
              <w:spacing w:after="0" w:line="169" w:lineRule="exact"/>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6980" w:type="dxa"/>
            <w:vAlign w:val="bottom"/>
            <w:gridSpan w:val="11"/>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1760" w:type="dxa"/>
            <w:vAlign w:val="bottom"/>
            <w:gridSpan w:val="5"/>
          </w:tcPr>
          <w:p>
            <w:pPr>
              <w:spacing w:after="0" w:line="169" w:lineRule="exact"/>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754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1300" w:type="dxa"/>
            <w:vAlign w:val="bottom"/>
            <w:gridSpan w:val="3"/>
          </w:tcPr>
          <w:p>
            <w:pPr>
              <w:spacing w:after="0" w:line="169" w:lineRule="exact"/>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8000" w:type="dxa"/>
            <w:vAlign w:val="bottom"/>
            <w:gridSpan w:val="1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20" w:right="140" w:hanging="312"/>
        <w:spacing w:after="0" w:line="324" w:lineRule="auto"/>
        <w:rPr>
          <w:sz w:val="20"/>
          <w:szCs w:val="20"/>
          <w:color w:val="auto"/>
        </w:rPr>
      </w:pPr>
      <w:r>
        <w:rPr>
          <w:rFonts w:ascii="Arial" w:cs="Arial" w:eastAsia="Arial" w:hAnsi="Arial"/>
          <w:sz w:val="16"/>
          <w:szCs w:val="16"/>
          <w:i w:val="1"/>
          <w:iCs w:val="1"/>
          <w:color w:val="auto"/>
        </w:rPr>
        <w:t>Unless otherwise stated or the context otherwise requires, the terms “we,” “us,” and “our,” and similar references refer to Rani Therapeutics Holdings, Inc. (“Rani Holdings”) and its consolidated subsidiaries, Rani Therapeutics, LLC (“Rani LLC”) and Rani Management Systems, Inc. (“RMS”).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1" w:lineRule="exact"/>
        <w:rPr>
          <w:sz w:val="20"/>
          <w:szCs w:val="20"/>
          <w:color w:val="auto"/>
        </w:rPr>
      </w:pPr>
    </w:p>
    <w:p>
      <w:pPr>
        <w:ind w:right="20" w:firstLine="1018"/>
        <w:spacing w:after="0" w:line="294"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53" w:lineRule="exact"/>
        <w:rPr>
          <w:sz w:val="20"/>
          <w:szCs w:val="20"/>
          <w:color w:val="auto"/>
        </w:rPr>
      </w:pPr>
    </w:p>
    <w:p>
      <w:pPr>
        <w:ind w:left="1540" w:right="32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03" w:lineRule="exact"/>
        <w:rPr>
          <w:rFonts w:ascii="Arial" w:cs="Arial" w:eastAsia="Arial" w:hAnsi="Arial"/>
          <w:sz w:val="18"/>
          <w:szCs w:val="18"/>
          <w:color w:val="auto"/>
        </w:rPr>
      </w:pPr>
    </w:p>
    <w:p>
      <w:pPr>
        <w:ind w:left="1540" w:right="24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jc w:val="both"/>
        <w:ind w:left="1540" w:right="220" w:hanging="514"/>
        <w:spacing w:after="0" w:line="248"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RaniPill HC or any redesign and conduct additional preclinical and clinical studies of any future design of the RaniPill capsule to accommodate target payloads that are larger than the payload capacity of the RaniPill capsule currently used for our product candidates;</w:t>
      </w:r>
    </w:p>
    <w:p>
      <w:pPr>
        <w:spacing w:after="0" w:line="7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115" w:lineRule="exact"/>
        <w:rPr>
          <w:rFonts w:ascii="Arial" w:cs="Arial" w:eastAsia="Arial" w:hAnsi="Arial"/>
          <w:sz w:val="17"/>
          <w:szCs w:val="17"/>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103" w:lineRule="exact"/>
        <w:rPr>
          <w:rFonts w:ascii="Arial" w:cs="Arial" w:eastAsia="Arial" w:hAnsi="Arial"/>
          <w:sz w:val="18"/>
          <w:szCs w:val="18"/>
          <w:color w:val="auto"/>
        </w:rPr>
      </w:pPr>
    </w:p>
    <w:p>
      <w:pPr>
        <w:ind w:left="1540" w:right="14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03" w:lineRule="exact"/>
        <w:rPr>
          <w:rFonts w:ascii="Arial" w:cs="Arial" w:eastAsia="Arial" w:hAnsi="Arial"/>
          <w:sz w:val="18"/>
          <w:szCs w:val="18"/>
          <w:color w:val="auto"/>
        </w:rPr>
      </w:pPr>
    </w:p>
    <w:p>
      <w:pPr>
        <w:ind w:left="1540" w:right="10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15" w:lineRule="exact"/>
        <w:rPr>
          <w:rFonts w:ascii="Arial" w:cs="Arial" w:eastAsia="Arial" w:hAnsi="Arial"/>
          <w:sz w:val="17"/>
          <w:szCs w:val="17"/>
          <w:color w:val="auto"/>
        </w:rPr>
      </w:pPr>
    </w:p>
    <w:p>
      <w:pPr>
        <w:ind w:left="1540" w:right="28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ind w:left="1540" w:hanging="514"/>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126" w:lineRule="exact"/>
        <w:rPr>
          <w:rFonts w:ascii="Arial" w:cs="Arial" w:eastAsia="Arial" w:hAnsi="Arial"/>
          <w:sz w:val="16"/>
          <w:szCs w:val="16"/>
          <w:color w:val="auto"/>
        </w:rPr>
      </w:pPr>
    </w:p>
    <w:p>
      <w:pPr>
        <w:ind w:left="1540" w:hanging="514"/>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and the conflict between Ukraine and Russia on our business;</w:t>
      </w:r>
    </w:p>
    <w:p>
      <w:pPr>
        <w:spacing w:after="0" w:line="115" w:lineRule="exact"/>
        <w:rPr>
          <w:rFonts w:ascii="Arial" w:cs="Arial" w:eastAsia="Arial" w:hAnsi="Arial"/>
          <w:sz w:val="17"/>
          <w:szCs w:val="17"/>
          <w:color w:val="auto"/>
        </w:rPr>
      </w:pPr>
    </w:p>
    <w:p>
      <w:pPr>
        <w:ind w:left="1540" w:hanging="514"/>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 and</w:t>
      </w:r>
    </w:p>
    <w:p>
      <w:pPr>
        <w:spacing w:after="0" w:line="103" w:lineRule="exact"/>
        <w:rPr>
          <w:rFonts w:ascii="Arial" w:cs="Arial" w:eastAsia="Arial" w:hAnsi="Arial"/>
          <w:sz w:val="18"/>
          <w:szCs w:val="18"/>
          <w:color w:val="auto"/>
        </w:rPr>
      </w:pPr>
    </w:p>
    <w:p>
      <w:pPr>
        <w:ind w:left="1540" w:right="20" w:hanging="514"/>
        <w:spacing w:after="0" w:line="261"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171" w:lineRule="exact"/>
        <w:rPr>
          <w:sz w:val="20"/>
          <w:szCs w:val="20"/>
          <w:color w:val="auto"/>
        </w:rPr>
      </w:pPr>
    </w:p>
    <w:p>
      <w:pPr>
        <w:ind w:right="80" w:firstLine="1018"/>
        <w:spacing w:after="0" w:line="276" w:lineRule="auto"/>
        <w:rPr>
          <w:sz w:val="20"/>
          <w:szCs w:val="20"/>
          <w:color w:val="auto"/>
        </w:rPr>
      </w:pPr>
      <w:r>
        <w:rPr>
          <w:rFonts w:ascii="Arial" w:cs="Arial" w:eastAsia="Arial" w:hAnsi="Arial"/>
          <w:sz w:val="16"/>
          <w:szCs w:val="16"/>
          <w:color w:val="auto"/>
        </w:rPr>
        <w:t>These forward-looking statements are subject to a number of risks, uncertainties, and assumptions described in the section titled “Risk Factors” and elsewhere in our Annual Report on Form 10-K filed with the Securities and Exchange Commission on March 31, 2022.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62" w:lineRule="exact"/>
        <w:rPr>
          <w:sz w:val="20"/>
          <w:szCs w:val="20"/>
          <w:color w:val="auto"/>
        </w:rPr>
      </w:pPr>
    </w:p>
    <w:p>
      <w:pPr>
        <w:ind w:right="100" w:firstLine="1018"/>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thousands, except par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107,839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117,453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109,260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119,595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4,890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4,612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115,309</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124,207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Related party payable</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4,156</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liability, net current portion</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4,665</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10)</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color w:val="auto"/>
                <w:w w:val="91"/>
              </w:rPr>
              <w:t>Preferred stock, $0.0001 par value - 20,000 shares authorized; none issued and outstanding as of March</w:t>
            </w:r>
          </w:p>
        </w:tc>
        <w:tc>
          <w:tcPr>
            <w:tcW w:w="280" w:type="dxa"/>
            <w:vAlign w:val="bottom"/>
          </w:tcPr>
          <w:p>
            <w:pPr>
              <w:spacing w:after="0"/>
              <w:rPr>
                <w:sz w:val="14"/>
                <w:szCs w:val="14"/>
                <w:color w:val="auto"/>
              </w:rPr>
            </w:pPr>
          </w:p>
        </w:tc>
        <w:tc>
          <w:tcPr>
            <w:tcW w:w="16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31, 2022 and December 31, 2021</w:t>
            </w: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3"/>
              </w:rPr>
              <w:t>Class A common stock, $0.0001 par value - 800,000 shares authorized; 24,387 and 19,712 issued and</w:t>
            </w:r>
          </w:p>
        </w:tc>
        <w:tc>
          <w:tcPr>
            <w:tcW w:w="28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28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color w:val="auto"/>
                <w:w w:val="94"/>
              </w:rPr>
              <w:t>Class B common stock, $0.0001 par value - 40,000 shares authorized; 24,773 and 29,290 issued and</w:t>
            </w:r>
          </w:p>
        </w:tc>
        <w:tc>
          <w:tcPr>
            <w:tcW w:w="2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2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3"/>
              </w:rPr>
              <w:t>Class C common stock, $0.0001 par value - 20,000 shares authorized; none issued and outstanding as</w:t>
            </w:r>
          </w:p>
        </w:tc>
        <w:tc>
          <w:tcPr>
            <w:tcW w:w="280" w:type="dxa"/>
            <w:vAlign w:val="bottom"/>
            <w:shd w:val="clear" w:color="auto" w:fill="CFF0FC"/>
          </w:tcPr>
          <w:p>
            <w:pPr>
              <w:spacing w:after="0"/>
              <w:rPr>
                <w:sz w:val="14"/>
                <w:szCs w:val="14"/>
                <w:color w:val="auto"/>
              </w:rPr>
            </w:pPr>
          </w:p>
        </w:tc>
        <w:tc>
          <w:tcPr>
            <w:tcW w:w="16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 March 31, 2022 and December 31, 2021</w:t>
            </w:r>
          </w:p>
        </w:tc>
        <w:tc>
          <w:tcPr>
            <w:tcW w:w="280" w:type="dxa"/>
            <w:vAlign w:val="bottom"/>
            <w:shd w:val="clear" w:color="auto" w:fill="CFF0FC"/>
          </w:tcPr>
          <w:p>
            <w:pPr>
              <w:spacing w:after="0"/>
              <w:rPr>
                <w:sz w:val="18"/>
                <w:szCs w:val="18"/>
                <w:color w:val="auto"/>
              </w:rPr>
            </w:pPr>
          </w:p>
        </w:tc>
        <w:tc>
          <w:tcPr>
            <w:tcW w:w="160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67,933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55,737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(14,554 )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(8,331 )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stockholders' equity attributable to Rani Therapeutics Holdings, Inc.</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53,384</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47,411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57,260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74,156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110,644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121,567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115,309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124,207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-3373755</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-3373755</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-561975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Contract revenue</w:t>
            </w:r>
          </w:p>
        </w:tc>
        <w:tc>
          <w:tcPr>
            <w:tcW w:w="1020" w:type="dxa"/>
            <w:vAlign w:val="bottom"/>
            <w:shd w:val="clear" w:color="auto" w:fill="CFF0FC"/>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4"/>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7,591</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6,189</w:t>
            </w:r>
          </w:p>
        </w:tc>
        <w:tc>
          <w:tcPr>
            <w:tcW w:w="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2,607</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shd w:val="clear" w:color="auto" w:fill="CFF0FC"/>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13,780</w:t>
            </w: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54"/>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5,954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color w:val="auto"/>
              </w:rPr>
              <w:t>Loss from operations</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w w:val="91"/>
              </w:rPr>
              <w:t>(13,780 )</w:t>
            </w:r>
          </w:p>
        </w:tc>
        <w:tc>
          <w:tcPr>
            <w:tcW w:w="10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(5,198 )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 and other, net</w:t>
            </w:r>
          </w:p>
        </w:tc>
        <w:tc>
          <w:tcPr>
            <w:tcW w:w="10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(188 )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Change in estimated fair value of preferred unit warrant</w:t>
            </w:r>
          </w:p>
        </w:tc>
        <w:tc>
          <w:tcPr>
            <w:tcW w:w="1020" w:type="dxa"/>
            <w:vAlign w:val="bottom"/>
          </w:tcPr>
          <w:p>
            <w:pPr>
              <w:spacing w:after="0"/>
              <w:rPr>
                <w:sz w:val="17"/>
                <w:szCs w:val="17"/>
                <w:color w:val="auto"/>
              </w:rPr>
            </w:pPr>
          </w:p>
        </w:tc>
        <w:tc>
          <w:tcPr>
            <w:tcW w:w="8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(216 )</w:t>
            </w:r>
          </w:p>
        </w:tc>
      </w:tr>
      <w:tr>
        <w:trPr>
          <w:trHeight w:val="196"/>
        </w:trPr>
        <w:tc>
          <w:tcPr>
            <w:tcW w:w="768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Loss before income taxes</w:t>
            </w: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(13,765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(5,555</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(63 )</w:t>
            </w:r>
          </w:p>
        </w:tc>
        <w:tc>
          <w:tcPr>
            <w:tcW w:w="10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(43 )</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1020" w:type="dxa"/>
            <w:vAlign w:val="bottom"/>
            <w:tcBorders>
              <w:top w:val="single" w:sz="8" w:color="auto"/>
            </w:tcBorders>
            <w:shd w:val="clear" w:color="auto" w:fill="CFF0FC"/>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(13,828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ind w:right="854"/>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(5,598</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(7,605 )</w:t>
            </w:r>
          </w:p>
        </w:tc>
        <w:tc>
          <w:tcPr>
            <w:tcW w:w="10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(5,598 )</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Rani Therapeutics Holdings, Inc.</w:t>
            </w:r>
          </w:p>
        </w:tc>
        <w:tc>
          <w:tcPr>
            <w:tcW w:w="1020" w:type="dxa"/>
            <w:vAlign w:val="bottom"/>
            <w:tcBorders>
              <w:top w:val="single" w:sz="8" w:color="auto"/>
              <w:bottom w:val="single" w:sz="8" w:color="auto"/>
            </w:tcBorders>
            <w:shd w:val="clear" w:color="auto" w:fill="CFF0FC"/>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ind w:right="854"/>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120"/>
              <w:spacing w:after="0" w:line="183" w:lineRule="exact"/>
              <w:rPr>
                <w:sz w:val="20"/>
                <w:szCs w:val="20"/>
                <w:color w:val="auto"/>
              </w:rPr>
            </w:pPr>
            <w:r>
              <w:rPr>
                <w:rFonts w:ascii="Arial" w:cs="Arial" w:eastAsia="Arial" w:hAnsi="Arial"/>
                <w:sz w:val="18"/>
                <w:szCs w:val="18"/>
                <w:color w:val="auto"/>
                <w:w w:val="92"/>
              </w:rPr>
              <w:t>Net loss per Class A common share attributable to Rani Therapeutics Holdings, Inc., basic and diluted</w:t>
            </w:r>
          </w:p>
        </w:tc>
        <w:tc>
          <w:tcPr>
            <w:tcW w:w="1020" w:type="dxa"/>
            <w:vAlign w:val="bottom"/>
          </w:tcPr>
          <w:p>
            <w:pPr>
              <w:jc w:val="right"/>
              <w:ind w:right="815"/>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(0.29 )</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Class A common shares outstanding—basic and diluted</w:t>
            </w: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21,409</w:t>
            </w:r>
          </w:p>
        </w:tc>
        <w:tc>
          <w:tcPr>
            <w:tcW w:w="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-1651000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-1651000</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-334010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EQUITY/CONVERTIBLE PREFERRED UNITS</w:t>
      </w:r>
    </w:p>
    <w:p>
      <w:pPr>
        <w:jc w:val="center"/>
        <w:ind w:right="40"/>
        <w:spacing w:after="0" w:line="234" w:lineRule="auto"/>
        <w:rPr>
          <w:sz w:val="20"/>
          <w:szCs w:val="20"/>
          <w:color w:val="auto"/>
        </w:rPr>
      </w:pPr>
      <w:r>
        <w:rPr>
          <w:rFonts w:ascii="Arial" w:cs="Arial" w:eastAsia="Arial" w:hAnsi="Arial"/>
          <w:sz w:val="18"/>
          <w:szCs w:val="18"/>
          <w:b w:val="1"/>
          <w:bCs w:val="1"/>
          <w:color w:val="auto"/>
        </w:rPr>
        <w:t>AND MEMBERS' DEFICIT</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0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Class A Common Stock</w:t>
            </w:r>
          </w:p>
        </w:tc>
        <w:tc>
          <w:tcPr>
            <w:tcW w:w="1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16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Additional Paid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w w:val="88"/>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4"/>
                <w:szCs w:val="14"/>
                <w:color w:val="auto"/>
              </w:rPr>
            </w:pP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84"/>
              </w:rPr>
              <w:t>Total Stockholders'</w:t>
            </w:r>
          </w:p>
        </w:tc>
        <w:tc>
          <w:tcPr>
            <w:tcW w:w="0" w:type="dxa"/>
            <w:vAlign w:val="bottom"/>
          </w:tcPr>
          <w:p>
            <w:pPr>
              <w:spacing w:after="0"/>
              <w:rPr>
                <w:sz w:val="1"/>
                <w:szCs w:val="1"/>
                <w:color w:val="auto"/>
              </w:rPr>
            </w:pPr>
          </w:p>
        </w:tc>
      </w:tr>
      <w:tr>
        <w:trPr>
          <w:trHeight w:val="104"/>
        </w:trPr>
        <w:tc>
          <w:tcPr>
            <w:tcW w:w="2700" w:type="dxa"/>
            <w:vAlign w:val="bottom"/>
          </w:tcPr>
          <w:p>
            <w:pPr>
              <w:spacing w:after="0"/>
              <w:rPr>
                <w:sz w:val="9"/>
                <w:szCs w:val="9"/>
                <w:color w:val="auto"/>
              </w:rPr>
            </w:pPr>
          </w:p>
        </w:tc>
        <w:tc>
          <w:tcPr>
            <w:tcW w:w="96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9"/>
                <w:szCs w:val="9"/>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9"/>
                <w:szCs w:val="9"/>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9"/>
              </w:rPr>
              <w:t>In 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4"/>
                <w:szCs w:val="14"/>
                <w:color w:val="auto"/>
              </w:rPr>
            </w:pPr>
          </w:p>
        </w:tc>
        <w:tc>
          <w:tcPr>
            <w:tcW w:w="1240" w:type="dxa"/>
            <w:vAlign w:val="bottom"/>
          </w:tcPr>
          <w:p>
            <w:pPr>
              <w:jc w:val="right"/>
              <w:ind w:right="4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2021</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19,712</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29,290</w:t>
            </w:r>
          </w:p>
        </w:tc>
        <w:tc>
          <w:tcPr>
            <w:tcW w:w="1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55,737</w:t>
            </w: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(8,331</w:t>
            </w:r>
          </w:p>
        </w:tc>
        <w:tc>
          <w:tcPr>
            <w:tcW w:w="16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74,156</w:t>
            </w: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121,567</w:t>
            </w:r>
          </w:p>
        </w:tc>
        <w:tc>
          <w:tcPr>
            <w:tcW w:w="0" w:type="dxa"/>
            <w:vAlign w:val="bottom"/>
          </w:tcPr>
          <w:p>
            <w:pPr>
              <w:spacing w:after="0"/>
              <w:rPr>
                <w:sz w:val="1"/>
                <w:szCs w:val="1"/>
                <w:color w:val="auto"/>
              </w:rPr>
            </w:pPr>
          </w:p>
        </w:tc>
      </w:tr>
      <w:tr>
        <w:trPr>
          <w:trHeight w:val="108"/>
        </w:trPr>
        <w:tc>
          <w:tcPr>
            <w:tcW w:w="2700" w:type="dxa"/>
            <w:vAlign w:val="bottom"/>
          </w:tcPr>
          <w:p>
            <w:pPr>
              <w:ind w:left="20"/>
              <w:spacing w:after="0" w:line="108" w:lineRule="exact"/>
              <w:rPr>
                <w:sz w:val="20"/>
                <w:szCs w:val="20"/>
                <w:color w:val="auto"/>
              </w:rPr>
            </w:pPr>
            <w:r>
              <w:rPr>
                <w:rFonts w:ascii="Arial" w:cs="Arial" w:eastAsia="Arial" w:hAnsi="Arial"/>
                <w:sz w:val="12"/>
                <w:szCs w:val="12"/>
                <w:color w:val="auto"/>
              </w:rPr>
              <w:t>Effect of exchanges of Paired Interests and non-</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4,675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(4,517 )</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00" w:type="dxa"/>
            <w:vAlign w:val="bottom"/>
          </w:tcPr>
          <w:p>
            <w:pPr>
              <w:ind w:left="20"/>
              <w:spacing w:after="0"/>
              <w:rPr>
                <w:sz w:val="20"/>
                <w:szCs w:val="20"/>
                <w:color w:val="auto"/>
              </w:rPr>
            </w:pPr>
            <w:r>
              <w:rPr>
                <w:rFonts w:ascii="Arial" w:cs="Arial" w:eastAsia="Arial" w:hAnsi="Arial"/>
                <w:sz w:val="13"/>
                <w:szCs w:val="13"/>
                <w:color w:val="auto"/>
              </w:rPr>
              <w:t>corresponding Class A Units of Rani LLC</w:t>
            </w: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Non-controlling interest adjustment for changes in</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10,928</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(10,928 )</w:t>
            </w:r>
          </w:p>
        </w:tc>
        <w:tc>
          <w:tcPr>
            <w:tcW w:w="100" w:type="dxa"/>
            <w:vAlign w:val="bottom"/>
            <w:shd w:val="clear" w:color="auto" w:fill="CFF0FC"/>
          </w:tcPr>
          <w:p>
            <w:pPr>
              <w:spacing w:after="0"/>
              <w:rPr>
                <w:sz w:val="9"/>
                <w:szCs w:val="9"/>
                <w:color w:val="auto"/>
              </w:rPr>
            </w:pPr>
          </w:p>
        </w:tc>
        <w:tc>
          <w:tcPr>
            <w:tcW w:w="12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proportionate ownership in Rani LLC</w:t>
            </w:r>
          </w:p>
        </w:tc>
        <w:tc>
          <w:tcPr>
            <w:tcW w:w="9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color w:val="auto"/>
              </w:rPr>
              <w:t>Equity-based compensation</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(6,223 )</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(7,605 )</w:t>
            </w:r>
          </w:p>
        </w:tc>
        <w:tc>
          <w:tcPr>
            <w:tcW w:w="100" w:type="dxa"/>
            <w:vAlign w:val="bottom"/>
            <w:shd w:val="clear" w:color="auto" w:fill="CFF0FC"/>
          </w:tcPr>
          <w:p>
            <w:pPr>
              <w:spacing w:after="0"/>
              <w:rPr>
                <w:sz w:val="12"/>
                <w:szCs w:val="12"/>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(13,828 )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Pr>
          <w:p>
            <w:pPr>
              <w:ind w:left="20"/>
              <w:spacing w:after="0" w:line="142" w:lineRule="exact"/>
              <w:rPr>
                <w:sz w:val="20"/>
                <w:szCs w:val="20"/>
                <w:color w:val="auto"/>
              </w:rPr>
            </w:pPr>
            <w:r>
              <w:rPr>
                <w:rFonts w:ascii="Arial" w:cs="Arial" w:eastAsia="Arial" w:hAnsi="Arial"/>
                <w:sz w:val="13"/>
                <w:szCs w:val="13"/>
                <w:color w:val="auto"/>
              </w:rPr>
              <w:t>Balance at March 31, 2022</w:t>
            </w: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24,387</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24,773</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67,933</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(14,554 )</w:t>
            </w:r>
          </w:p>
        </w:tc>
        <w:tc>
          <w:tcPr>
            <w:tcW w:w="160" w:type="dxa"/>
            <w:vAlign w:val="bottom"/>
          </w:tcPr>
          <w:p>
            <w:pPr>
              <w:ind w:left="20"/>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57,260</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line="142" w:lineRule="exact"/>
              <w:rPr>
                <w:sz w:val="20"/>
                <w:szCs w:val="20"/>
                <w:color w:val="auto"/>
              </w:rPr>
            </w:pPr>
            <w:r>
              <w:rPr>
                <w:rFonts w:ascii="Arial" w:cs="Arial" w:eastAsia="Arial" w:hAnsi="Arial"/>
                <w:sz w:val="13"/>
                <w:szCs w:val="13"/>
                <w:color w:val="auto"/>
              </w:rPr>
              <w:t>110,644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-125095</wp:posOffset>
            </wp:positionV>
            <wp:extent cx="342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-125095</wp:posOffset>
            </wp:positionV>
            <wp:extent cx="342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-125095</wp:posOffset>
            </wp:positionV>
            <wp:extent cx="431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-125095</wp:posOffset>
            </wp:positionV>
            <wp:extent cx="342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-125095</wp:posOffset>
            </wp:positionV>
            <wp:extent cx="254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-125095</wp:posOffset>
            </wp:positionV>
            <wp:extent cx="342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-125095</wp:posOffset>
            </wp:positionV>
            <wp:extent cx="342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3"/>
                <w:szCs w:val="13"/>
                <w:b w:val="1"/>
                <w:bCs w:val="1"/>
                <w:color w:val="auto"/>
                <w:w w:val="88"/>
              </w:rPr>
              <w:t>Convertible Preferred</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Common</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397"/>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278"/>
              <w:spacing w:after="0"/>
              <w:rPr>
                <w:sz w:val="20"/>
                <w:szCs w:val="20"/>
                <w:color w:val="auto"/>
              </w:rPr>
            </w:pPr>
            <w:r>
              <w:rPr>
                <w:rFonts w:ascii="Arial" w:cs="Arial" w:eastAsia="Arial" w:hAnsi="Arial"/>
                <w:sz w:val="13"/>
                <w:szCs w:val="13"/>
                <w:b w:val="1"/>
                <w:bCs w:val="1"/>
                <w:color w:val="auto"/>
                <w:w w:val="92"/>
              </w:rPr>
              <w:t>Total Members’</w:t>
            </w:r>
          </w:p>
        </w:tc>
        <w:tc>
          <w:tcPr>
            <w:tcW w:w="0" w:type="dxa"/>
            <w:vAlign w:val="bottom"/>
          </w:tcPr>
          <w:p>
            <w:pPr>
              <w:spacing w:after="0"/>
              <w:rPr>
                <w:sz w:val="1"/>
                <w:szCs w:val="1"/>
                <w:color w:val="auto"/>
              </w:rPr>
            </w:pPr>
          </w:p>
        </w:tc>
      </w:tr>
      <w:tr>
        <w:trPr>
          <w:trHeight w:val="103"/>
        </w:trPr>
        <w:tc>
          <w:tcPr>
            <w:tcW w:w="2720" w:type="dxa"/>
            <w:vAlign w:val="bottom"/>
          </w:tcPr>
          <w:p>
            <w:pPr>
              <w:spacing w:after="0"/>
              <w:rPr>
                <w:sz w:val="8"/>
                <w:szCs w:val="8"/>
                <w:color w:val="auto"/>
              </w:rPr>
            </w:pPr>
          </w:p>
        </w:tc>
        <w:tc>
          <w:tcPr>
            <w:tcW w:w="72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86"/>
              </w:rPr>
              <w:t>Units</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Units</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7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220" w:type="dxa"/>
            <w:vAlign w:val="bottom"/>
            <w:gridSpan w:val="2"/>
          </w:tcPr>
          <w:p>
            <w:pPr>
              <w:jc w:val="right"/>
              <w:ind w:right="518"/>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27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2020</w:t>
            </w:r>
          </w:p>
        </w:tc>
        <w:tc>
          <w:tcPr>
            <w:tcW w:w="7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26,746</w:t>
            </w:r>
          </w:p>
        </w:tc>
        <w:tc>
          <w:tcPr>
            <w:tcW w:w="24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184,714</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46,890</w:t>
            </w:r>
          </w:p>
        </w:tc>
        <w:tc>
          <w:tcPr>
            <w:tcW w:w="22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664</w:t>
            </w: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(114,003</w:t>
            </w:r>
          </w:p>
        </w:tc>
        <w:tc>
          <w:tcPr>
            <w:tcW w:w="22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(113,339</w:t>
            </w:r>
          </w:p>
        </w:tc>
        <w:tc>
          <w:tcPr>
            <w:tcW w:w="140" w:type="dxa"/>
            <w:vAlign w:val="bottom"/>
            <w:shd w:val="clear" w:color="auto" w:fill="CFF0FC"/>
          </w:tcPr>
          <w:p>
            <w:pPr>
              <w:jc w:val="right"/>
              <w:ind w:right="5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Issuance of Series E preferred units</w:t>
            </w:r>
          </w:p>
        </w:tc>
        <w:tc>
          <w:tcPr>
            <w:tcW w:w="420" w:type="dxa"/>
            <w:vAlign w:val="bottom"/>
          </w:tcPr>
          <w:p>
            <w:pPr>
              <w:jc w:val="right"/>
              <w:spacing w:after="0"/>
              <w:rPr>
                <w:sz w:val="20"/>
                <w:szCs w:val="20"/>
                <w:color w:val="auto"/>
              </w:rPr>
            </w:pPr>
            <w:r>
              <w:rPr>
                <w:rFonts w:ascii="Arial" w:cs="Arial" w:eastAsia="Arial" w:hAnsi="Arial"/>
                <w:sz w:val="13"/>
                <w:szCs w:val="13"/>
                <w:color w:val="auto"/>
              </w:rPr>
              <w:t>884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6,320</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Exercise of warrant for common units</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Equity-based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(5,598 )</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(5,598 )</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tcPr>
          <w:p>
            <w:pPr>
              <w:ind w:left="20"/>
              <w:spacing w:after="0" w:line="142" w:lineRule="exact"/>
              <w:rPr>
                <w:sz w:val="20"/>
                <w:szCs w:val="20"/>
                <w:color w:val="auto"/>
              </w:rPr>
            </w:pPr>
            <w:r>
              <w:rPr>
                <w:rFonts w:ascii="Arial" w:cs="Arial" w:eastAsia="Arial" w:hAnsi="Arial"/>
                <w:sz w:val="13"/>
                <w:szCs w:val="13"/>
                <w:color w:val="auto"/>
              </w:rPr>
              <w:t>Balance at March 31, 2021</w:t>
            </w:r>
          </w:p>
        </w:tc>
        <w:tc>
          <w:tcPr>
            <w:tcW w:w="7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w w:val="95"/>
              </w:rPr>
              <w:t>27,630</w:t>
            </w:r>
          </w:p>
        </w:tc>
        <w:tc>
          <w:tcPr>
            <w:tcW w:w="240" w:type="dxa"/>
            <w:vAlign w:val="bottom"/>
          </w:tcPr>
          <w:p>
            <w:pPr>
              <w:spacing w:after="0"/>
              <w:rPr>
                <w:sz w:val="12"/>
                <w:szCs w:val="12"/>
                <w:color w:val="auto"/>
              </w:rPr>
            </w:pPr>
          </w:p>
        </w:tc>
        <w:tc>
          <w:tcPr>
            <w:tcW w:w="240" w:type="dxa"/>
            <w:vAlign w:val="bottom"/>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line="142" w:lineRule="exact"/>
              <w:rPr>
                <w:sz w:val="20"/>
                <w:szCs w:val="20"/>
                <w:color w:val="auto"/>
              </w:rPr>
            </w:pPr>
            <w:r>
              <w:rPr>
                <w:rFonts w:ascii="Arial" w:cs="Arial" w:eastAsia="Arial" w:hAnsi="Arial"/>
                <w:sz w:val="13"/>
                <w:szCs w:val="13"/>
                <w:color w:val="auto"/>
              </w:rPr>
              <w:t>191,034</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46,896</w:t>
            </w:r>
          </w:p>
        </w:tc>
        <w:tc>
          <w:tcPr>
            <w:tcW w:w="220" w:type="dxa"/>
            <w:vAlign w:val="bottom"/>
          </w:tcPr>
          <w:p>
            <w:pPr>
              <w:spacing w:after="0"/>
              <w:rPr>
                <w:sz w:val="12"/>
                <w:szCs w:val="12"/>
                <w:color w:val="auto"/>
              </w:rPr>
            </w:pPr>
          </w:p>
        </w:tc>
        <w:tc>
          <w:tcPr>
            <w:tcW w:w="300" w:type="dxa"/>
            <w:vAlign w:val="bottom"/>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1,130</w:t>
            </w:r>
          </w:p>
        </w:tc>
        <w:tc>
          <w:tcPr>
            <w:tcW w:w="22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(119,601 )</w:t>
            </w: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58"/>
              <w:spacing w:after="0" w:line="142" w:lineRule="exact"/>
              <w:rPr>
                <w:sz w:val="20"/>
                <w:szCs w:val="20"/>
                <w:color w:val="auto"/>
              </w:rPr>
            </w:pPr>
            <w:r>
              <w:rPr>
                <w:rFonts w:ascii="Arial" w:cs="Arial" w:eastAsia="Arial" w:hAnsi="Arial"/>
                <w:sz w:val="13"/>
                <w:szCs w:val="13"/>
                <w:color w:val="auto"/>
              </w:rPr>
              <w:t>(118,471 )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-125095</wp:posOffset>
            </wp:positionV>
            <wp:extent cx="768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-125095</wp:posOffset>
            </wp:positionV>
            <wp:extent cx="768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-125095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-125095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-125095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-125095</wp:posOffset>
            </wp:positionV>
            <wp:extent cx="939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795"/>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4"/>
              </w:rPr>
              <w:t>(13,828 )</w:t>
            </w:r>
          </w:p>
        </w:tc>
        <w:tc>
          <w:tcPr>
            <w:tcW w:w="1020" w:type="dxa"/>
            <w:vAlign w:val="bottom"/>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(5,598 )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Equity-based compensation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2,905</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preferred unit warrant liability</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operating lease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(157 )</w:t>
            </w: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Related party payable</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(756 )</w:t>
            </w: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(9,360 )</w:t>
            </w:r>
          </w:p>
        </w:tc>
        <w:tc>
          <w:tcPr>
            <w:tcW w:w="10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(4,048 )</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(254 )</w:t>
            </w: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(99 )</w:t>
            </w: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issuance of preferred units, net of issuance costs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Proceeds from exercise of warrants for common units</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 of deferred offering costs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(302 )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Principal and interest repayments from related party for note receivable</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1,720</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7,751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(9,614 )</w:t>
            </w:r>
          </w:p>
        </w:tc>
        <w:tc>
          <w:tcPr>
            <w:tcW w:w="10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3,604</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117,453</w:t>
            </w:r>
          </w:p>
        </w:tc>
        <w:tc>
          <w:tcPr>
            <w:tcW w:w="2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73,058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1000" w:type="dxa"/>
            <w:vAlign w:val="bottom"/>
            <w:tcBorders>
              <w:bottom w:val="single" w:sz="8" w:color="auto"/>
            </w:tcBorders>
          </w:tcPr>
          <w:p>
            <w:pPr>
              <w:jc w:val="right"/>
              <w:ind w:right="795"/>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107,839</w:t>
            </w:r>
          </w:p>
        </w:tc>
        <w:tc>
          <w:tcPr>
            <w:tcW w:w="260" w:type="dxa"/>
            <w:vAlign w:val="bottom"/>
          </w:tcPr>
          <w:p>
            <w:pPr>
              <w:spacing w:after="0"/>
              <w:rPr>
                <w:sz w:val="17"/>
                <w:szCs w:val="17"/>
                <w:color w:val="auto"/>
              </w:rPr>
            </w:pPr>
          </w:p>
        </w:tc>
        <w:tc>
          <w:tcPr>
            <w:tcW w:w="1020" w:type="dxa"/>
            <w:vAlign w:val="bottom"/>
            <w:tcBorders>
              <w:bottom w:val="single" w:sz="8" w:color="auto"/>
            </w:tcBorders>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76,662</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000" w:type="dxa"/>
            <w:vAlign w:val="bottom"/>
            <w:tcBorders>
              <w:bottom w:val="single" w:sz="8" w:color="auto"/>
            </w:tcBorders>
          </w:tcPr>
          <w:p>
            <w:pPr>
              <w:jc w:val="right"/>
              <w:ind w:right="795"/>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260" w:type="dxa"/>
            <w:vAlign w:val="bottom"/>
          </w:tcPr>
          <w:p>
            <w:pPr>
              <w:spacing w:after="0"/>
              <w:rPr>
                <w:sz w:val="17"/>
                <w:szCs w:val="17"/>
                <w:color w:val="auto"/>
              </w:rPr>
            </w:pPr>
          </w:p>
        </w:tc>
        <w:tc>
          <w:tcPr>
            <w:tcW w:w="1020" w:type="dxa"/>
            <w:vAlign w:val="bottom"/>
            <w:tcBorders>
              <w:bottom w:val="single" w:sz="8" w:color="auto"/>
            </w:tcBorders>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Exchanges of Paired Interests and non-corresponding Class A Units of Rani LLC</w:t>
            </w:r>
          </w:p>
        </w:tc>
        <w:tc>
          <w:tcPr>
            <w:tcW w:w="1000" w:type="dxa"/>
            <w:vAlign w:val="bottom"/>
            <w:tcBorders>
              <w:bottom w:val="single" w:sz="8" w:color="auto"/>
            </w:tcBorders>
            <w:shd w:val="clear" w:color="auto" w:fill="CFF0FC"/>
          </w:tcPr>
          <w:p>
            <w:pPr>
              <w:jc w:val="right"/>
              <w:ind w:right="795"/>
              <w:spacing w:after="0" w:line="18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73,160</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3"/>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Deferred financing costs included in accrued expenses</w:t>
            </w:r>
          </w:p>
        </w:tc>
        <w:tc>
          <w:tcPr>
            <w:tcW w:w="1000" w:type="dxa"/>
            <w:vAlign w:val="bottom"/>
          </w:tcPr>
          <w:p>
            <w:pPr>
              <w:jc w:val="right"/>
              <w:ind w:right="795"/>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70"/>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833"/>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3" w:lineRule="exact"/>
              <w:rPr>
                <w:sz w:val="20"/>
                <w:szCs w:val="20"/>
                <w:color w:val="auto"/>
              </w:rPr>
            </w:pPr>
            <w:r>
              <w:rPr>
                <w:rFonts w:ascii="Arial" w:cs="Arial" w:eastAsia="Arial" w:hAnsi="Arial"/>
                <w:sz w:val="18"/>
                <w:szCs w:val="18"/>
                <w:color w:val="auto"/>
              </w:rPr>
              <w:t>483</w:t>
            </w:r>
          </w:p>
        </w:tc>
        <w:tc>
          <w:tcPr>
            <w:tcW w:w="8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-2345055</wp:posOffset>
            </wp:positionV>
            <wp:extent cx="514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-2345055</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-1805305</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-1805305</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-1016635</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-1016635</wp:posOffset>
            </wp:positionV>
            <wp:extent cx="514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-750570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-750570</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-179705</wp:posOffset>
            </wp:positionV>
            <wp:extent cx="51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-179705</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12" w:lineRule="exact"/>
        <w:rPr>
          <w:sz w:val="20"/>
          <w:szCs w:val="20"/>
          <w:color w:val="auto"/>
        </w:rPr>
      </w:pPr>
    </w:p>
    <w:p>
      <w:pPr>
        <w:ind w:right="260" w:firstLine="1018"/>
        <w:spacing w:after="0" w:line="243" w:lineRule="auto"/>
        <w:rPr>
          <w:sz w:val="20"/>
          <w:szCs w:val="20"/>
          <w:color w:val="auto"/>
        </w:rPr>
      </w:pPr>
      <w:r>
        <w:rPr>
          <w:rFonts w:ascii="Arial" w:cs="Arial" w:eastAsia="Arial" w:hAnsi="Arial"/>
          <w:sz w:val="18"/>
          <w:szCs w:val="18"/>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are collectively referred to herein as “Rani” or the “Company.”</w:t>
      </w:r>
    </w:p>
    <w:p>
      <w:pPr>
        <w:spacing w:after="0" w:line="188"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The Company is a clinical stage biotherapeutics company focusing on advancing technologies to enable the administration of biologics orally, to provide patients, physicians, and healthcare systems with a convenient alternative to painful injections. The Company is advancing a portfolio of oral biologic therapeutics using its proprietary delivery technology, the RaniPill capsule. The Company is headquartered in San Jose, California and operates in one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Organizational Transactions</w:t>
      </w:r>
    </w:p>
    <w:p>
      <w:pPr>
        <w:spacing w:after="0" w:line="212" w:lineRule="exact"/>
        <w:rPr>
          <w:sz w:val="20"/>
          <w:szCs w:val="20"/>
          <w:color w:val="auto"/>
        </w:rPr>
      </w:pPr>
    </w:p>
    <w:p>
      <w:pPr>
        <w:ind w:right="80" w:firstLine="1018"/>
        <w:spacing w:after="0" w:line="243" w:lineRule="auto"/>
        <w:rPr>
          <w:sz w:val="20"/>
          <w:szCs w:val="20"/>
          <w:color w:val="auto"/>
        </w:rPr>
      </w:pPr>
      <w:r>
        <w:rPr>
          <w:rFonts w:ascii="Arial" w:cs="Arial" w:eastAsia="Arial" w:hAnsi="Arial"/>
          <w:sz w:val="18"/>
          <w:szCs w:val="18"/>
          <w:color w:val="auto"/>
        </w:rPr>
        <w:t>In August 2021, the Company closed its IPO and sold 7,666,667 shares of its Class A common stock, including shares issued pursuant to the exercise in full of the underwriters’ option, for cash consideration of $11.00 per share and received approximately $73.6 million in net proceeds, after deducting underwriting discounts, offering costs and commissions. The Company used the proceeds from the IPO to purchase 7,666,667 newly issued economic nonvoting Class A units (“Class A Units”) of Rani LLC.</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IPO, the Company was party to the following organizational transactions (the “Organizational Transactions”):</w:t>
      </w:r>
    </w:p>
    <w:p>
      <w:pPr>
        <w:spacing w:after="0" w:line="115" w:lineRule="exact"/>
        <w:rPr>
          <w:sz w:val="20"/>
          <w:szCs w:val="20"/>
          <w:color w:val="auto"/>
        </w:rPr>
      </w:pPr>
    </w:p>
    <w:p>
      <w:pPr>
        <w:ind w:left="1020" w:right="80" w:hanging="503"/>
        <w:spacing w:after="0" w:line="279"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Class A Units and an equal number of voting noneconomic Class B units (“Class B Units”) and (ii) all Profits Interests into Class A Units. In connection with the closing of the IPO, each LLC interest was exchanged 1 for 0.5282 as determined and predicated on the initial public offering price of the Company’s Class A common stock;</w:t>
      </w:r>
    </w:p>
    <w:p>
      <w:pPr>
        <w:spacing w:after="0" w:line="51" w:lineRule="exact"/>
        <w:rPr>
          <w:rFonts w:ascii="Arial" w:cs="Arial" w:eastAsia="Arial" w:hAnsi="Arial"/>
          <w:sz w:val="16"/>
          <w:szCs w:val="16"/>
          <w:color w:val="auto"/>
        </w:rPr>
      </w:pPr>
    </w:p>
    <w:p>
      <w:pPr>
        <w:ind w:left="1020" w:right="4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79"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Exchanged 12,047,925 shares of Class A common stock for existing Class A Units of Rani LLC held by certain individuals and entities (the “Former LLC Owners”) on a one-for-one basis;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29,290,391 shares of Class B common stock to certain individuals and entities that continued to hold Class A Units in Rani LLC after the IPO (the “Continuing LLC Owners”) in return for an equal amount of Rani LLC Class B Units;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 Registration Rights Agreement with certain of the Continuing LLC Owners.</w:t>
      </w:r>
    </w:p>
    <w:p>
      <w:pPr>
        <w:spacing w:after="0" w:line="212" w:lineRule="exact"/>
        <w:rPr>
          <w:sz w:val="20"/>
          <w:szCs w:val="20"/>
          <w:color w:val="auto"/>
        </w:rPr>
      </w:pPr>
    </w:p>
    <w:p>
      <w:pPr>
        <w:ind w:right="40" w:firstLine="1018"/>
        <w:spacing w:after="0" w:line="272" w:lineRule="auto"/>
        <w:rPr>
          <w:sz w:val="20"/>
          <w:szCs w:val="20"/>
          <w:color w:val="auto"/>
        </w:rPr>
      </w:pPr>
      <w:r>
        <w:rPr>
          <w:rFonts w:ascii="Arial" w:cs="Arial" w:eastAsia="Arial" w:hAnsi="Arial"/>
          <w:sz w:val="16"/>
          <w:szCs w:val="16"/>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March 31, 2022,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2" w:lineRule="exact"/>
        <w:rPr>
          <w:sz w:val="20"/>
          <w:szCs w:val="20"/>
          <w:color w:val="auto"/>
        </w:rPr>
      </w:pPr>
    </w:p>
    <w:p>
      <w:pPr>
        <w:ind w:right="20" w:firstLine="1018"/>
        <w:spacing w:after="0" w:line="270" w:lineRule="auto"/>
        <w:rPr>
          <w:sz w:val="20"/>
          <w:szCs w:val="20"/>
          <w:color w:val="auto"/>
        </w:rPr>
      </w:pPr>
      <w:r>
        <w:rPr>
          <w:rFonts w:ascii="Arial" w:cs="Arial" w:eastAsia="Arial" w:hAnsi="Arial"/>
          <w:sz w:val="16"/>
          <w:szCs w:val="16"/>
          <w:color w:val="auto"/>
        </w:rPr>
        <w:t>The Company has incurred recurring losses since its inception, including net losses of $13.8 million for the three months ended March 31, 2022. As of March 31, 2022, the Company had an accumulated deficit of $14.6 million and for the three months ended March 31, 2022 had negative cash flows from operations of $9.4 million. The Company expects to continue to generate operating losses and negative operating cash flows for the foreseeable future as it continues to develop the RaniPill capsule. The Company expects that its cash and cash equivalents of $107.8 million as of March 31, 2022 will be sufficient to fund its operations through at least twelve months from the date the condensed consolidated financial statements are issued.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67" w:lineRule="exact"/>
        <w:rPr>
          <w:sz w:val="20"/>
          <w:szCs w:val="20"/>
          <w:color w:val="auto"/>
        </w:rPr>
      </w:pPr>
    </w:p>
    <w:p>
      <w:pPr>
        <w:ind w:right="60" w:firstLine="1018"/>
        <w:spacing w:after="0" w:line="241" w:lineRule="auto"/>
        <w:rPr>
          <w:sz w:val="20"/>
          <w:szCs w:val="20"/>
          <w:color w:val="auto"/>
        </w:rPr>
      </w:pPr>
      <w:r>
        <w:rPr>
          <w:rFonts w:ascii="Arial" w:cs="Arial" w:eastAsia="Arial" w:hAnsi="Arial"/>
          <w:sz w:val="18"/>
          <w:szCs w:val="18"/>
          <w:color w:val="auto"/>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Market volatility resulting from the novel coronavirus disease (“COVID-19”) pandemic or other factors could also adversely impact the Company’s ability to access capital when and as needed.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280" w:firstLine="1018"/>
        <w:spacing w:after="0" w:line="261"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w:t>
      </w:r>
    </w:p>
    <w:p>
      <w:pPr>
        <w:spacing w:after="0" w:line="171" w:lineRule="exact"/>
        <w:rPr>
          <w:sz w:val="20"/>
          <w:szCs w:val="20"/>
          <w:color w:val="auto"/>
        </w:rPr>
      </w:pPr>
    </w:p>
    <w:p>
      <w:pPr>
        <w:ind w:firstLine="1018"/>
        <w:spacing w:after="0" w:line="284" w:lineRule="auto"/>
        <w:rPr>
          <w:sz w:val="20"/>
          <w:szCs w:val="20"/>
          <w:color w:val="auto"/>
        </w:rPr>
      </w:pPr>
      <w:r>
        <w:rPr>
          <w:rFonts w:ascii="Arial" w:cs="Arial" w:eastAsia="Arial" w:hAnsi="Arial"/>
          <w:sz w:val="16"/>
          <w:szCs w:val="16"/>
          <w:color w:val="auto"/>
        </w:rPr>
        <w:t>The Company operates and controls all of the business and affairs of Rani LLC, and through Rani LLC and its subsidiary,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55" w:lineRule="exact"/>
        <w:rPr>
          <w:sz w:val="20"/>
          <w:szCs w:val="20"/>
          <w:color w:val="auto"/>
        </w:rPr>
      </w:pPr>
    </w:p>
    <w:p>
      <w:pPr>
        <w:ind w:right="220" w:firstLine="1018"/>
        <w:spacing w:after="0" w:line="248" w:lineRule="auto"/>
        <w:rPr>
          <w:sz w:val="20"/>
          <w:szCs w:val="20"/>
          <w:color w:val="auto"/>
        </w:rPr>
      </w:pPr>
      <w:r>
        <w:rPr>
          <w:rFonts w:ascii="Arial" w:cs="Arial" w:eastAsia="Arial" w:hAnsi="Arial"/>
          <w:sz w:val="18"/>
          <w:szCs w:val="18"/>
          <w:color w:val="auto"/>
        </w:rPr>
        <w:t>The Organizational Transactions were considered transactions between entities under common control. As a result, the condensed consolidated financial statements for periods prior to the IPO and the Organizational Transactions have been adjusted to combine the previously separate entities for presentation purposes.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12" w:lineRule="exact"/>
        <w:rPr>
          <w:sz w:val="20"/>
          <w:szCs w:val="20"/>
          <w:color w:val="auto"/>
        </w:rPr>
      </w:pPr>
    </w:p>
    <w:p>
      <w:pPr>
        <w:ind w:right="260" w:firstLine="1018"/>
        <w:spacing w:after="0" w:line="255"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except for the adoption of the new lease accounting standard. Operating results for the three months ended March 31, 2022 are not necessarily indicative of the results that may be expected for the year ending December 31, 2022 or for any future period.</w:t>
      </w:r>
    </w:p>
    <w:p>
      <w:pPr>
        <w:spacing w:after="0" w:line="180" w:lineRule="exact"/>
        <w:rPr>
          <w:sz w:val="20"/>
          <w:szCs w:val="20"/>
          <w:color w:val="auto"/>
        </w:rPr>
      </w:pPr>
    </w:p>
    <w:p>
      <w:pPr>
        <w:ind w:right="80" w:firstLine="1018"/>
        <w:spacing w:after="0" w:line="284" w:lineRule="auto"/>
        <w:rPr>
          <w:sz w:val="20"/>
          <w:szCs w:val="20"/>
          <w:color w:val="auto"/>
        </w:rPr>
      </w:pPr>
      <w:r>
        <w:rPr>
          <w:rFonts w:ascii="Arial" w:cs="Arial" w:eastAsia="Arial" w:hAnsi="Arial"/>
          <w:sz w:val="16"/>
          <w:szCs w:val="16"/>
          <w:color w:val="auto"/>
        </w:rPr>
        <w:t>The consolidated balance sheet as of December 31, 2021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2021 consolidated financial statements and notes included in the Company’s Annual Report on Form 10-K filed with the SEC on March 31, 2022.</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20" w:firstLine="1018"/>
        <w:spacing w:after="0" w:line="274"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Estimates include, but are not limited to equity-based compensation expense, accrued research and development costs and, until the occurrence of the Company's IPO, the fair value of Profits Interests and preferred unit warrants. Actual results may differ materially and adversely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right="80" w:firstLine="1018"/>
        <w:spacing w:after="0" w:line="248" w:lineRule="auto"/>
        <w:rPr>
          <w:sz w:val="20"/>
          <w:szCs w:val="20"/>
          <w:color w:val="auto"/>
        </w:rPr>
      </w:pPr>
      <w:r>
        <w:rPr>
          <w:rFonts w:ascii="Arial" w:cs="Arial" w:eastAsia="Arial" w:hAnsi="Arial"/>
          <w:sz w:val="18"/>
          <w:szCs w:val="18"/>
          <w:color w:val="auto"/>
        </w:rPr>
        <w:t>A description of the Company’s significant accounting policies is included in the audited consolidated financial statements within its Annual Report on Form 10-K for the year ended December 31, 2021. Except as noted below, there have been no material changes in the Company’s significant accounting policies during the three months ended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12" w:lineRule="exact"/>
        <w:rPr>
          <w:sz w:val="20"/>
          <w:szCs w:val="20"/>
          <w:color w:val="auto"/>
        </w:rPr>
      </w:pPr>
    </w:p>
    <w:p>
      <w:pPr>
        <w:ind w:firstLine="1018"/>
        <w:spacing w:after="0" w:line="284"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55" w:lineRule="exact"/>
        <w:rPr>
          <w:sz w:val="20"/>
          <w:szCs w:val="20"/>
          <w:color w:val="auto"/>
        </w:rPr>
      </w:pPr>
    </w:p>
    <w:p>
      <w:pPr>
        <w:ind w:right="100" w:firstLine="1018"/>
        <w:spacing w:after="0" w:line="243" w:lineRule="auto"/>
        <w:rPr>
          <w:sz w:val="20"/>
          <w:szCs w:val="20"/>
          <w:color w:val="auto"/>
        </w:rPr>
      </w:pPr>
      <w:r>
        <w:rPr>
          <w:rFonts w:ascii="Arial" w:cs="Arial" w:eastAsia="Arial" w:hAnsi="Arial"/>
          <w:sz w:val="18"/>
          <w:szCs w:val="18"/>
          <w:color w:val="auto"/>
        </w:rPr>
        <w:t>In March 2020, the World Health Organization declared the COVID-19 outbreak a pandemic. The extent to which the COVID-19 pandemic will further directly or indirectly impact the Company's results of operation and financial condition has been and will continue to be driven by many factors, most of which are beyond the Company's control and ability to forecast. Because of these uncertainties, the Company cannot estimate how long or to what extent COVID-19 will impact the Company's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right="80" w:firstLine="1018"/>
        <w:spacing w:after="0" w:line="241"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12" w:lineRule="exact"/>
        <w:rPr>
          <w:sz w:val="20"/>
          <w:szCs w:val="20"/>
          <w:color w:val="auto"/>
        </w:rPr>
      </w:pPr>
    </w:p>
    <w:p>
      <w:pPr>
        <w:ind w:left="1020" w:right="40"/>
        <w:spacing w:after="0" w:line="248"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2" w:lineRule="exact"/>
        <w:rPr>
          <w:sz w:val="20"/>
          <w:szCs w:val="20"/>
          <w:color w:val="auto"/>
        </w:rPr>
      </w:pPr>
    </w:p>
    <w:p>
      <w:pPr>
        <w:ind w:left="1020" w:right="280"/>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1"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120" w:firstLine="1018"/>
        <w:spacing w:after="0" w:line="248" w:lineRule="auto"/>
        <w:rPr>
          <w:sz w:val="20"/>
          <w:szCs w:val="20"/>
          <w:color w:val="auto"/>
        </w:rPr>
      </w:pPr>
      <w:r>
        <w:rPr>
          <w:rFonts w:ascii="Arial" w:cs="Arial" w:eastAsia="Arial" w:hAnsi="Arial"/>
          <w:sz w:val="18"/>
          <w:szCs w:val="18"/>
          <w:color w:val="auto"/>
        </w:rPr>
        <w:t>Prior to January 1, 2022, the Company had one cancelable operating lease agreement for its corporate headquarters and recognized related rent expense on a straight-line basis over the term of the lease. The Company’s lease agreement contained termination and renewal options. The Company did not assume termination nor renewals options in its determination of the lease term</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ind w:right="100"/>
        <w:spacing w:after="0" w:line="261" w:lineRule="auto"/>
        <w:rPr>
          <w:sz w:val="20"/>
          <w:szCs w:val="20"/>
          <w:color w:val="auto"/>
        </w:rPr>
      </w:pPr>
      <w:r>
        <w:rPr>
          <w:rFonts w:ascii="Arial" w:cs="Arial" w:eastAsia="Arial" w:hAnsi="Arial"/>
          <w:sz w:val="18"/>
          <w:szCs w:val="18"/>
          <w:color w:val="auto"/>
        </w:rPr>
        <w:t>unless they were deemed to be reasonably certain at the renewal of the lease. The Company began recognizing rent expense on the date that it obtained the legal right to use and control the leased space.</w:t>
      </w:r>
    </w:p>
    <w:p>
      <w:pPr>
        <w:spacing w:after="0" w:line="171" w:lineRule="exact"/>
        <w:rPr>
          <w:sz w:val="20"/>
          <w:szCs w:val="20"/>
          <w:color w:val="auto"/>
        </w:rPr>
      </w:pPr>
    </w:p>
    <w:p>
      <w:pPr>
        <w:ind w:right="60" w:firstLine="1018"/>
        <w:spacing w:after="0" w:line="257" w:lineRule="auto"/>
        <w:rPr>
          <w:sz w:val="20"/>
          <w:szCs w:val="20"/>
          <w:color w:val="auto"/>
        </w:rPr>
      </w:pPr>
      <w:r>
        <w:rPr>
          <w:rFonts w:ascii="Arial" w:cs="Arial" w:eastAsia="Arial" w:hAnsi="Arial"/>
          <w:sz w:val="17"/>
          <w:szCs w:val="17"/>
          <w:color w:val="auto"/>
        </w:rPr>
        <w:t>Subsequent to the adoption of the new leasing standard on January 1, 2022, 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condensed consolidated balance sheet as of March 31, 2022.</w:t>
      </w:r>
    </w:p>
    <w:p>
      <w:pPr>
        <w:spacing w:after="0" w:line="175"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we determine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w:t>
      </w:r>
    </w:p>
    <w:p>
      <w:pPr>
        <w:spacing w:after="0" w:line="184" w:lineRule="exact"/>
        <w:rPr>
          <w:sz w:val="20"/>
          <w:szCs w:val="20"/>
          <w:color w:val="auto"/>
        </w:rPr>
      </w:pPr>
    </w:p>
    <w:p>
      <w:pPr>
        <w:ind w:right="60" w:firstLine="1018"/>
        <w:spacing w:after="0" w:line="284" w:lineRule="auto"/>
        <w:rPr>
          <w:sz w:val="20"/>
          <w:szCs w:val="20"/>
          <w:color w:val="auto"/>
        </w:rPr>
      </w:pPr>
      <w:r>
        <w:rPr>
          <w:rFonts w:ascii="Arial" w:cs="Arial" w:eastAsia="Arial" w:hAnsi="Arial"/>
          <w:sz w:val="16"/>
          <w:szCs w:val="16"/>
          <w:color w:val="auto"/>
        </w:rPr>
        <w:t>The operating lease ROU assets also include any lease payments made and exclude lease incentives. Lease expense is recognized on a straight-line basis over the expected lease term. The Company has elected to not separate lease and non-lease components for its leased assets and accounts for all lease and non-lease components of its agreements as a single lease component. The lease components resulting in a ROU asset have been recorded on the condensed consolidated balance sheet and amortized as lease expense on a straight-line basis over the lease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20" w:firstLine="1063"/>
        <w:spacing w:after="0" w:line="259" w:lineRule="auto"/>
        <w:rPr>
          <w:sz w:val="20"/>
          <w:szCs w:val="20"/>
          <w:color w:val="auto"/>
        </w:rPr>
      </w:pPr>
      <w:r>
        <w:rPr>
          <w:rFonts w:ascii="Arial" w:cs="Arial" w:eastAsia="Arial" w:hAnsi="Arial"/>
          <w:sz w:val="17"/>
          <w:szCs w:val="17"/>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74"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2" w:lineRule="exact"/>
        <w:rPr>
          <w:sz w:val="20"/>
          <w:szCs w:val="20"/>
          <w:color w:val="auto"/>
        </w:rPr>
      </w:pPr>
    </w:p>
    <w:p>
      <w:pPr>
        <w:jc w:val="both"/>
        <w:ind w:right="300" w:firstLine="1018"/>
        <w:spacing w:after="0" w:line="24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Net Loss Per Class A Common Share Attributable to Rani Holdings</w:t>
      </w:r>
    </w:p>
    <w:p>
      <w:pPr>
        <w:spacing w:after="0" w:line="212" w:lineRule="exact"/>
        <w:rPr>
          <w:sz w:val="20"/>
          <w:szCs w:val="20"/>
          <w:color w:val="auto"/>
        </w:rPr>
      </w:pPr>
    </w:p>
    <w:p>
      <w:pPr>
        <w:ind w:right="80" w:firstLine="1018"/>
        <w:spacing w:after="0" w:line="272" w:lineRule="auto"/>
        <w:rPr>
          <w:sz w:val="20"/>
          <w:szCs w:val="20"/>
          <w:color w:val="auto"/>
        </w:rPr>
      </w:pPr>
      <w:r>
        <w:rPr>
          <w:rFonts w:ascii="Arial" w:cs="Arial" w:eastAsia="Arial" w:hAnsi="Arial"/>
          <w:sz w:val="16"/>
          <w:szCs w:val="16"/>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 Net loss per share is not presented for the three months ended March 31, 2021 as the Company did not have any economic interests prior to the date of the IPO and Organizational Transactions through which it was given ownership in Rani LLC. Losses prior to the IPO and Organizational Transactions would have been allocated to the original members of Rani LLC. The basic and diluted net loss per Class A common share attributable to Rani Holdings is applicable only for the periods following the IPO and Organizational Transactions and represents the periods that the Company had Class A common shares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12"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71" w:lineRule="exact"/>
        <w:rPr>
          <w:sz w:val="20"/>
          <w:szCs w:val="20"/>
          <w:color w:val="auto"/>
        </w:rPr>
      </w:pPr>
    </w:p>
    <w:p>
      <w:pPr>
        <w:ind w:right="20" w:firstLine="1018"/>
        <w:spacing w:after="0"/>
        <w:rPr>
          <w:sz w:val="20"/>
          <w:szCs w:val="20"/>
          <w:color w:val="auto"/>
        </w:rPr>
      </w:pPr>
      <w:r>
        <w:rPr>
          <w:rFonts w:ascii="Arial" w:cs="Arial" w:eastAsia="Arial" w:hAnsi="Arial"/>
          <w:sz w:val="18"/>
          <w:szCs w:val="18"/>
          <w:color w:val="auto"/>
        </w:rPr>
        <w:t>In August 2021, based on the Organizational Transactions, Rani Holdings became the sole managing member of Rani LLC. As of March 31, 2022, Rani Holdings held approximately 48% of the Class A Units of Rani LLC, and approximately 52% of the outstanding Class A Units of Rani LLC are held by the Continuing LLC Owners. Therefore, the Company reports NCI based on the Class A Units of Rani LLC held by the Continuing LLC Owners on its condensed consolidated balance sheet as of March 31, 2022. Income or loss attributed to the NCI in Rani LLC is based on the Class A Units outstanding during the period for which the income or loss is generated and is presented on the condensed consolidated statements of operations and comprehensive income or loss.</w:t>
      </w:r>
    </w:p>
    <w:p>
      <w:pPr>
        <w:spacing w:after="0" w:line="189" w:lineRule="exact"/>
        <w:rPr>
          <w:sz w:val="20"/>
          <w:szCs w:val="20"/>
          <w:color w:val="auto"/>
        </w:rPr>
      </w:pPr>
    </w:p>
    <w:p>
      <w:pPr>
        <w:jc w:val="both"/>
        <w:ind w:right="240" w:firstLine="1018"/>
        <w:spacing w:after="0" w:line="262"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March 31, 2022, there were 4,517,105 exchanges of Paired Interests and 158,051 exchanges of non-corresponding Class A Units of Rani LLC for an equal number of shares of the Company's 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firstLine="1018"/>
        <w:spacing w:after="0" w:line="271" w:lineRule="auto"/>
        <w:rPr>
          <w:sz w:val="20"/>
          <w:szCs w:val="20"/>
          <w:color w:val="auto"/>
        </w:rPr>
      </w:pPr>
      <w:r>
        <w:rPr>
          <w:rFonts w:ascii="Arial" w:cs="Arial" w:eastAsia="Arial" w:hAnsi="Arial"/>
          <w:sz w:val="16"/>
          <w:szCs w:val="16"/>
          <w:color w:val="auto"/>
        </w:rPr>
        <w:t>In February 2016, the Financial Accounting Standards Board (the “FASB”) issued ASU 2016-02, Leases (“Topic 842”), as subsequently amended, to improve financial reporting and disclosures about leasing transactions. The Company adopted this standard on January 1, 2022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where applicable. The Company did not elect the practical expedient allowing the use-of-hindsight which would require the Company to reassess the lease term of its leases based on all facts and circumstances through the effective date and did not elect the practical expedient pertaining to land easements as this is not applicable to the current contract portfolio. The Company elected the post-transition practical expedient to not separate lease components from non-lease components for all existing lease classes. The Company also elected a policy of not recording leases on its condensed balance sheets when the leases have a term of twelve months or less and the Company is not reasonably certain to elect an option to purchase the leased asset.</w:t>
      </w:r>
    </w:p>
    <w:p>
      <w:pPr>
        <w:spacing w:after="0" w:line="169"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The adoption of this standard resulted in the recognition of a ROU asset and lease liabilities of $1.3 million, respectively. The adoption of the standard had no impact on the Company’s condensed consolidated statements of operations and comprehensive loss or to its cash flows from or used in operating, financing, or investing activities on its condensed consolidated statements of cash flows. No cumulative-effect adjustment within accumulated deficit was required to be recorded as a result of adopting this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ind w:right="120" w:firstLine="1018"/>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to require the measurement of expected credit losses for financial instruments held at the reporting date based on historical experience, current conditions and reasonable forecasts. The main objective of ASU 2016-13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right="220"/>
        <w:spacing w:after="0" w:line="261" w:lineRule="auto"/>
        <w:rPr>
          <w:sz w:val="20"/>
          <w:szCs w:val="20"/>
          <w:color w:val="auto"/>
        </w:rPr>
      </w:pPr>
      <w:r>
        <w:rPr>
          <w:rFonts w:ascii="Arial" w:cs="Arial" w:eastAsia="Arial" w:hAnsi="Arial"/>
          <w:sz w:val="18"/>
          <w:szCs w:val="18"/>
          <w:color w:val="auto"/>
        </w:rPr>
        <w:t>considered an emerging growth company, ASU 2016-13 will be effective for the Company on January 1, 2023. The Company has not yet determined the potential effects of ASU 2016-13 on its condensed consolidated financial statements and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ind w:right="140" w:firstLine="1018"/>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2022</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105,795</w:t>
            </w:r>
          </w:p>
        </w:tc>
        <w:tc>
          <w:tcPr>
            <w:tcW w:w="38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105,795</w:t>
            </w:r>
          </w:p>
        </w:tc>
        <w:tc>
          <w:tcPr>
            <w:tcW w:w="60" w:type="dxa"/>
            <w:vAlign w:val="bottom"/>
          </w:tcPr>
          <w:p>
            <w:pPr>
              <w:spacing w:after="0"/>
              <w:rPr>
                <w:sz w:val="17"/>
                <w:szCs w:val="17"/>
                <w:color w:val="auto"/>
              </w:rPr>
            </w:pPr>
          </w:p>
        </w:tc>
      </w:tr>
      <w:tr>
        <w:trPr>
          <w:trHeight w:val="236"/>
        </w:trPr>
        <w:tc>
          <w:tcPr>
            <w:tcW w:w="46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105,795</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105,795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58"/>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 2021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115,595</w:t>
            </w:r>
          </w:p>
        </w:tc>
        <w:tc>
          <w:tcPr>
            <w:tcW w:w="38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115,595</w:t>
            </w:r>
          </w:p>
        </w:tc>
        <w:tc>
          <w:tcPr>
            <w:tcW w:w="60" w:type="dxa"/>
            <w:vAlign w:val="bottom"/>
          </w:tcPr>
          <w:p>
            <w:pPr>
              <w:spacing w:after="0"/>
              <w:rPr>
                <w:sz w:val="17"/>
                <w:szCs w:val="17"/>
                <w:color w:val="auto"/>
              </w:rPr>
            </w:pPr>
          </w:p>
        </w:tc>
      </w:tr>
      <w:tr>
        <w:trPr>
          <w:trHeight w:val="236"/>
        </w:trPr>
        <w:tc>
          <w:tcPr>
            <w:tcW w:w="46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115,595</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115,595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-814070</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-796925</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-814070</wp:posOffset>
            </wp:positionV>
            <wp:extent cx="42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-796925</wp:posOffset>
            </wp:positionV>
            <wp:extent cx="425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-814070</wp:posOffset>
            </wp:positionV>
            <wp:extent cx="34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-796925</wp:posOffset>
            </wp:positionV>
            <wp:extent cx="34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-814070</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-796925</wp:posOffset>
            </wp:positionV>
            <wp:extent cx="34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425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425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560" w:firstLine="1018"/>
        <w:spacing w:after="0" w:line="261" w:lineRule="auto"/>
        <w:rPr>
          <w:sz w:val="20"/>
          <w:szCs w:val="20"/>
          <w:color w:val="auto"/>
        </w:rPr>
      </w:pPr>
      <w:r>
        <w:rPr>
          <w:rFonts w:ascii="Arial" w:cs="Arial" w:eastAsia="Arial" w:hAnsi="Arial"/>
          <w:sz w:val="18"/>
          <w:szCs w:val="18"/>
          <w:color w:val="auto"/>
        </w:rPr>
        <w:t>Money market funds are highly liquid and actively traded marketable securities that generally transact at a stable $1.00 net asset value representing its estimated fair value.</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25" w:lineRule="exact"/>
        <w:rPr>
          <w:sz w:val="20"/>
          <w:szCs w:val="20"/>
          <w:color w:val="auto"/>
        </w:rPr>
      </w:pPr>
    </w:p>
    <w:p>
      <w:pPr>
        <w:ind w:right="620" w:firstLine="1018"/>
        <w:spacing w:after="0" w:line="324" w:lineRule="auto"/>
        <w:rPr>
          <w:sz w:val="20"/>
          <w:szCs w:val="20"/>
          <w:color w:val="auto"/>
        </w:rPr>
      </w:pPr>
      <w:r>
        <w:rPr>
          <w:rFonts w:ascii="Arial" w:cs="Arial" w:eastAsia="Arial" w:hAnsi="Arial"/>
          <w:sz w:val="16"/>
          <w:szCs w:val="16"/>
          <w:color w:val="auto"/>
        </w:rPr>
        <w:t>The Company held a Level 3 liability associated with preferred unit warrants that were issued in conjunction with a loan and security Agreement. These preferred unit warrants were settled with Class A common stock as part of the IPO and Organizational Transactions.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87"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6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9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w:t>
            </w:r>
          </w:p>
        </w:tc>
        <w:tc>
          <w:tcPr>
            <w:tcW w:w="60" w:type="dxa"/>
            <w:vAlign w:val="bottom"/>
            <w:shd w:val="clear" w:color="auto" w:fill="CFF0FC"/>
          </w:tcPr>
          <w:p>
            <w:pPr>
              <w:spacing w:after="0"/>
              <w:rPr>
                <w:sz w:val="17"/>
                <w:szCs w:val="17"/>
                <w:color w:val="auto"/>
              </w:rPr>
            </w:pPr>
          </w:p>
        </w:tc>
      </w:tr>
      <w:tr>
        <w:trPr>
          <w:trHeight w:val="202"/>
        </w:trPr>
        <w:tc>
          <w:tcPr>
            <w:tcW w:w="860" w:type="dxa"/>
            <w:vAlign w:val="bottom"/>
          </w:tcPr>
          <w:p>
            <w:pPr>
              <w:spacing w:after="0"/>
              <w:rPr>
                <w:sz w:val="17"/>
                <w:szCs w:val="17"/>
                <w:color w:val="auto"/>
              </w:rPr>
            </w:pPr>
          </w:p>
        </w:tc>
        <w:tc>
          <w:tcPr>
            <w:tcW w:w="638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Change in estimated fair value of Series E warrants</w:t>
            </w: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9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60" w:type="dxa"/>
            <w:vAlign w:val="bottom"/>
            <w:tcBorders>
              <w:bottom w:val="single" w:sz="8" w:color="CFF0FC"/>
            </w:tcBorders>
          </w:tcPr>
          <w:p>
            <w:pPr>
              <w:spacing w:after="0"/>
              <w:rPr>
                <w:sz w:val="17"/>
                <w:szCs w:val="17"/>
                <w:color w:val="auto"/>
              </w:rPr>
            </w:pPr>
          </w:p>
        </w:tc>
      </w:tr>
      <w:tr>
        <w:trPr>
          <w:trHeight w:val="236"/>
        </w:trPr>
        <w:tc>
          <w:tcPr>
            <w:tcW w:w="860" w:type="dxa"/>
            <w:vAlign w:val="bottom"/>
          </w:tcPr>
          <w:p>
            <w:pPr>
              <w:spacing w:after="0"/>
              <w:rPr>
                <w:sz w:val="20"/>
                <w:szCs w:val="20"/>
                <w:color w:val="auto"/>
              </w:rPr>
            </w:pPr>
          </w:p>
        </w:tc>
        <w:tc>
          <w:tcPr>
            <w:tcW w:w="6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end of period</w:t>
            </w: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FF0FC"/>
          </w:tcPr>
          <w:p>
            <w:pPr>
              <w:ind w:left="9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44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4. Accrued Expenses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 consist of the following (in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6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related</w:t>
            </w:r>
          </w:p>
        </w:tc>
        <w:tc>
          <w:tcPr>
            <w:tcW w:w="28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1,250</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7"/>
                <w:szCs w:val="17"/>
                <w:color w:val="auto"/>
              </w:rPr>
            </w:pPr>
          </w:p>
        </w:tc>
      </w:tr>
      <w:tr>
        <w:trPr>
          <w:trHeight w:val="202"/>
        </w:trPr>
        <w:tc>
          <w:tcPr>
            <w:tcW w:w="86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Accrued preclinical and clinical trial costs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fees</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w:t>
            </w:r>
          </w:p>
        </w:tc>
        <w:tc>
          <w:tcPr>
            <w:tcW w:w="6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w:t>
            </w:r>
          </w:p>
        </w:tc>
        <w:tc>
          <w:tcPr>
            <w:tcW w:w="60" w:type="dxa"/>
            <w:vAlign w:val="bottom"/>
          </w:tcPr>
          <w:p>
            <w:pPr>
              <w:spacing w:after="0"/>
              <w:rPr>
                <w:sz w:val="17"/>
                <w:szCs w:val="17"/>
                <w:color w:val="auto"/>
              </w:rPr>
            </w:pPr>
          </w:p>
        </w:tc>
      </w:tr>
      <w:tr>
        <w:trPr>
          <w:trHeight w:val="236"/>
        </w:trPr>
        <w:tc>
          <w:tcPr>
            <w:tcW w:w="860" w:type="dxa"/>
            <w:vAlign w:val="bottom"/>
          </w:tcPr>
          <w:p>
            <w:pPr>
              <w:spacing w:after="0"/>
              <w:rPr>
                <w:sz w:val="20"/>
                <w:szCs w:val="20"/>
                <w:color w:val="auto"/>
              </w:rPr>
            </w:pPr>
          </w:p>
        </w:tc>
        <w:tc>
          <w:tcPr>
            <w:tcW w:w="6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2,101</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-1619250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-1602105</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-1757045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-1619250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-1602105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-1757045</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Evaluation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w:t>
      </w:r>
    </w:p>
    <w:p>
      <w:pPr>
        <w:spacing w:after="0" w:line="212" w:lineRule="exact"/>
        <w:rPr>
          <w:sz w:val="20"/>
          <w:szCs w:val="20"/>
          <w:color w:val="auto"/>
        </w:rPr>
      </w:pPr>
    </w:p>
    <w:p>
      <w:pPr>
        <w:ind w:right="120" w:firstLine="1018"/>
        <w:spacing w:after="0" w:line="248" w:lineRule="auto"/>
        <w:rPr>
          <w:sz w:val="20"/>
          <w:szCs w:val="20"/>
          <w:color w:val="auto"/>
        </w:rPr>
      </w:pPr>
      <w:r>
        <w:rPr>
          <w:rFonts w:ascii="Arial" w:cs="Arial" w:eastAsia="Arial" w:hAnsi="Arial"/>
          <w:sz w:val="18"/>
          <w:szCs w:val="18"/>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ind w:right="40"/>
        <w:spacing w:after="0" w:line="239" w:lineRule="auto"/>
        <w:rPr>
          <w:sz w:val="20"/>
          <w:szCs w:val="20"/>
          <w:color w:val="auto"/>
        </w:rPr>
      </w:pPr>
      <w:r>
        <w:rPr>
          <w:rFonts w:ascii="Arial" w:cs="Arial" w:eastAsia="Arial" w:hAnsi="Arial"/>
          <w:sz w:val="18"/>
          <w:szCs w:val="18"/>
          <w:color w:val="auto"/>
        </w:rPr>
        <w:t>FVIII-RaniPill therapeutic. Takeda paid the Company up-front payments of $5.9 million upon execution of and subsequent modifications to the agreement. Upon the initial evaluation services being completed, Takeda had an option to pay the Company $3.0 million to perform later stage evaluation services. Takeda also had the ability to terminate the agreement at any time by providing 30 days written notice after the effective date of the agreement. Unless terminated early, the agreement term ended upon the expiration of the right of first negotiation period which is 120 days after the completion of the evaluation services. The Takeda agreement could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would terminate.</w:t>
      </w:r>
    </w:p>
    <w:p>
      <w:pPr>
        <w:spacing w:after="0" w:line="191" w:lineRule="exact"/>
        <w:rPr>
          <w:sz w:val="20"/>
          <w:szCs w:val="20"/>
          <w:color w:val="auto"/>
        </w:rPr>
      </w:pPr>
    </w:p>
    <w:p>
      <w:pPr>
        <w:ind w:right="180" w:firstLine="1018"/>
        <w:spacing w:after="0" w:line="248" w:lineRule="auto"/>
        <w:rPr>
          <w:sz w:val="20"/>
          <w:szCs w:val="20"/>
          <w:color w:val="auto"/>
        </w:rPr>
      </w:pPr>
      <w:r>
        <w:rPr>
          <w:rFonts w:ascii="Arial" w:cs="Arial" w:eastAsia="Arial" w:hAnsi="Arial"/>
          <w:sz w:val="18"/>
          <w:szCs w:val="18"/>
          <w:color w:val="auto"/>
        </w:rPr>
        <w:t>The Company identified one material promise under the Takeda agreement, the obligation to perform services to evaluate if Takeda’s FVIII therapy can be orally delivered using the RaniPill capsule (“Research and Development Services”), which was concluded to be a single performance obligation.</w:t>
      </w:r>
    </w:p>
    <w:p>
      <w:pPr>
        <w:spacing w:after="0" w:line="182" w:lineRule="exact"/>
        <w:rPr>
          <w:sz w:val="20"/>
          <w:szCs w:val="20"/>
          <w:color w:val="auto"/>
        </w:rPr>
      </w:pPr>
    </w:p>
    <w:p>
      <w:pPr>
        <w:ind w:right="100" w:firstLine="1018"/>
        <w:spacing w:after="0" w:line="248" w:lineRule="auto"/>
        <w:rPr>
          <w:sz w:val="20"/>
          <w:szCs w:val="20"/>
          <w:color w:val="auto"/>
        </w:rPr>
      </w:pPr>
      <w:r>
        <w:rPr>
          <w:rFonts w:ascii="Arial" w:cs="Arial" w:eastAsia="Arial" w:hAnsi="Arial"/>
          <w:sz w:val="18"/>
          <w:szCs w:val="18"/>
          <w:color w:val="auto"/>
        </w:rPr>
        <w:t xml:space="preserve">In May 2021, the Company received written notice from Takeda as to their intent to terminate the contract for convenience. </w:t>
      </w:r>
      <w:r>
        <w:rPr>
          <w:rFonts w:ascii="Arial" w:cs="Arial" w:eastAsia="Arial" w:hAnsi="Arial"/>
          <w:sz w:val="18"/>
          <w:szCs w:val="18"/>
          <w:color w:val="212529"/>
        </w:rPr>
        <w:t>Due to the</w:t>
      </w:r>
      <w:r>
        <w:rPr>
          <w:rFonts w:ascii="Arial" w:cs="Arial" w:eastAsia="Arial" w:hAnsi="Arial"/>
          <w:sz w:val="18"/>
          <w:szCs w:val="18"/>
          <w:color w:val="auto"/>
        </w:rPr>
        <w:t xml:space="preserve"> </w:t>
      </w:r>
      <w:r>
        <w:rPr>
          <w:rFonts w:ascii="Arial" w:cs="Arial" w:eastAsia="Arial" w:hAnsi="Arial"/>
          <w:sz w:val="18"/>
          <w:szCs w:val="18"/>
          <w:color w:val="212529"/>
        </w:rPr>
        <w:t>delivery of the termination notice, the Company determined that there were no further enforceable rights and obligations under the agreement beyond May 2021 and the remaining $2.0 million of deferred revenue was recognized in 2021</w:t>
      </w:r>
      <w:r>
        <w:rPr>
          <w:rFonts w:ascii="Arial" w:cs="Arial" w:eastAsia="Arial" w:hAnsi="Arial"/>
          <w:sz w:val="18"/>
          <w:szCs w:val="18"/>
          <w:color w:val="000000"/>
        </w:rPr>
        <w:t>.</w:t>
      </w:r>
    </w:p>
    <w:p>
      <w:pPr>
        <w:spacing w:after="0" w:line="182"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For the three months ended March 31, 2022, no contract revenue related to the Takeda agreement was recognized. For three months ended March 31, 2021, the Company recognized contract revenue related to the Takeda agreement of $0.8 million. There was no deferred revenue as of March 31, 2022 nor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16" w:lineRule="exact"/>
        <w:rPr>
          <w:sz w:val="20"/>
          <w:szCs w:val="20"/>
          <w:color w:val="auto"/>
        </w:rPr>
      </w:pPr>
    </w:p>
    <w:p>
      <w:pPr>
        <w:ind w:right="20" w:firstLine="1018"/>
        <w:spacing w:after="0" w:line="248" w:lineRule="auto"/>
        <w:rPr>
          <w:sz w:val="20"/>
          <w:szCs w:val="20"/>
          <w:color w:val="auto"/>
        </w:rPr>
      </w:pPr>
      <w:r>
        <w:rPr>
          <w:rFonts w:ascii="Arial" w:cs="Arial" w:eastAsia="Arial" w:hAnsi="Arial"/>
          <w:sz w:val="18"/>
          <w:szCs w:val="18"/>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12" w:lineRule="exact"/>
        <w:rPr>
          <w:sz w:val="20"/>
          <w:szCs w:val="20"/>
          <w:color w:val="auto"/>
        </w:rPr>
      </w:pPr>
    </w:p>
    <w:p>
      <w:pPr>
        <w:ind w:right="80" w:firstLine="1018"/>
        <w:spacing w:after="0" w:line="270" w:lineRule="auto"/>
        <w:rPr>
          <w:sz w:val="20"/>
          <w:szCs w:val="20"/>
          <w:color w:val="auto"/>
        </w:rPr>
      </w:pPr>
      <w:r>
        <w:rPr>
          <w:rFonts w:ascii="Arial" w:cs="Arial" w:eastAsia="Arial" w:hAnsi="Arial"/>
          <w:sz w:val="16"/>
          <w:szCs w:val="16"/>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ICL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71" w:lineRule="exact"/>
        <w:rPr>
          <w:sz w:val="20"/>
          <w:szCs w:val="20"/>
          <w:color w:val="auto"/>
        </w:rPr>
      </w:pPr>
    </w:p>
    <w:p>
      <w:pPr>
        <w:ind w:right="20" w:firstLine="1018"/>
        <w:spacing w:after="0" w:line="274" w:lineRule="auto"/>
        <w:rPr>
          <w:sz w:val="20"/>
          <w:szCs w:val="20"/>
          <w:color w:val="auto"/>
        </w:rPr>
      </w:pPr>
      <w:r>
        <w:rPr>
          <w:rFonts w:ascii="Arial" w:cs="Arial" w:eastAsia="Arial" w:hAnsi="Arial"/>
          <w:sz w:val="16"/>
          <w:szCs w:val="16"/>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The RMS-ICL Service Agreement has a twelve-month term and will automatically renew for successive twelve-month periods unless terminated. RMS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RMS, respectively, as well as allocations of expenses based upon RMS’s utilization of ICL’s facilities and equipment.</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right="620" w:firstLine="1018"/>
        <w:spacing w:after="0" w:line="261" w:lineRule="auto"/>
        <w:rPr>
          <w:sz w:val="20"/>
          <w:szCs w:val="20"/>
          <w:color w:val="auto"/>
        </w:rPr>
      </w:pPr>
      <w:r>
        <w:rPr>
          <w:rFonts w:ascii="Arial" w:cs="Arial" w:eastAsia="Arial" w:hAnsi="Arial"/>
          <w:sz w:val="18"/>
          <w:szCs w:val="18"/>
          <w:color w:val="auto"/>
        </w:rPr>
        <w:t>The table below details the amounts charged by ICL for services and rent, net of the amount that the Company charged ICL, which is included in the condensed consolidated statements of operations and comprehensive loss (in thousands):</w:t>
      </w: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w:t>
            </w:r>
          </w:p>
        </w:tc>
        <w:tc>
          <w:tcPr>
            <w:tcW w:w="6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480" w:firstLine="1018"/>
        <w:spacing w:after="0" w:line="291"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the employees, including the Company’s named executive officers, who satisfy certain eligibility requirements.</w:t>
      </w:r>
    </w:p>
    <w:p>
      <w:pPr>
        <w:spacing w:after="0" w:line="147"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As of March 31, 2022, all of the Company's facilities are owned or leased by an entity affiliated with the Company’s Chairman (Note 7). The Company pays for the use of these facilities through its services agreements with ICL.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12"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March 2021, an outstanding notes receivable balance totaling $1.7 million, including all accrued interest, was fully repaid by ICL.</w:t>
      </w:r>
    </w:p>
    <w:p>
      <w:pPr>
        <w:spacing w:after="0" w:line="223" w:lineRule="exact"/>
        <w:rPr>
          <w:sz w:val="20"/>
          <w:szCs w:val="20"/>
          <w:color w:val="auto"/>
        </w:rPr>
      </w:pPr>
    </w:p>
    <w:p>
      <w:pPr>
        <w:ind w:right="360" w:firstLine="1018"/>
        <w:spacing w:after="0" w:line="262" w:lineRule="auto"/>
        <w:rPr>
          <w:sz w:val="20"/>
          <w:szCs w:val="20"/>
          <w:color w:val="auto"/>
        </w:rPr>
      </w:pPr>
      <w:r>
        <w:rPr>
          <w:rFonts w:ascii="Arial" w:cs="Arial" w:eastAsia="Arial" w:hAnsi="Arial"/>
          <w:sz w:val="17"/>
          <w:szCs w:val="17"/>
          <w:color w:val="auto"/>
        </w:rPr>
        <w:t>During 2020 and 2021, a related party of the Company, and its affiliates, purchased 2,100,800 common units of Rani LLC and 7,880,120 Series E Preferred Units of Rani LLC. As part of the Organizational Transactions the common units and Series E Preferred Units were exchanged for 5,277,729 shares of the Company's Class A common stock. In connection with the IPO and subsequent thereto, the same related party purchased an additional 6,458,904 shares of the Company’s Class A common stock for total gross proceeds of $71.1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12"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89" w:lineRule="exact"/>
        <w:rPr>
          <w:sz w:val="20"/>
          <w:szCs w:val="20"/>
          <w:color w:val="auto"/>
        </w:rPr>
      </w:pPr>
    </w:p>
    <w:p>
      <w:pPr>
        <w:ind w:firstLine="1018"/>
        <w:spacing w:after="0" w:line="270" w:lineRule="auto"/>
        <w:rPr>
          <w:sz w:val="20"/>
          <w:szCs w:val="20"/>
          <w:color w:val="auto"/>
        </w:rPr>
      </w:pPr>
      <w:r>
        <w:rPr>
          <w:rFonts w:ascii="Arial" w:cs="Arial" w:eastAsia="Arial" w:hAnsi="Arial"/>
          <w:sz w:val="16"/>
          <w:szCs w:val="16"/>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12" w:lineRule="exact"/>
        <w:rPr>
          <w:sz w:val="20"/>
          <w:szCs w:val="20"/>
          <w:color w:val="auto"/>
        </w:rPr>
      </w:pPr>
    </w:p>
    <w:p>
      <w:pPr>
        <w:ind w:right="380" w:firstLine="1018"/>
        <w:spacing w:after="0" w:line="261" w:lineRule="auto"/>
        <w:rPr>
          <w:sz w:val="20"/>
          <w:szCs w:val="20"/>
          <w:color w:val="auto"/>
        </w:rPr>
      </w:pPr>
      <w:r>
        <w:rPr>
          <w:rFonts w:ascii="Arial" w:cs="Arial" w:eastAsia="Arial" w:hAnsi="Arial"/>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jc w:val="both"/>
        <w:ind w:right="180"/>
        <w:spacing w:after="0" w:line="284" w:lineRule="auto"/>
        <w:rPr>
          <w:sz w:val="20"/>
          <w:szCs w:val="20"/>
          <w:color w:val="auto"/>
        </w:rPr>
      </w:pPr>
      <w:r>
        <w:rPr>
          <w:rFonts w:ascii="Arial" w:cs="Arial" w:eastAsia="Arial" w:hAnsi="Arial"/>
          <w:sz w:val="16"/>
          <w:szCs w:val="16"/>
          <w:color w:val="auto"/>
        </w:rPr>
        <w:t>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12" w:lineRule="exact"/>
        <w:rPr>
          <w:sz w:val="20"/>
          <w:szCs w:val="20"/>
          <w:color w:val="auto"/>
        </w:rPr>
      </w:pPr>
    </w:p>
    <w:p>
      <w:pPr>
        <w:ind w:right="60" w:firstLine="1018"/>
        <w:spacing w:after="0" w:line="257" w:lineRule="auto"/>
        <w:rPr>
          <w:sz w:val="20"/>
          <w:szCs w:val="20"/>
          <w:color w:val="auto"/>
        </w:rPr>
      </w:pPr>
      <w:r>
        <w:rPr>
          <w:rFonts w:ascii="Arial" w:cs="Arial" w:eastAsia="Arial" w:hAnsi="Arial"/>
          <w:sz w:val="17"/>
          <w:szCs w:val="17"/>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12" w:lineRule="exact"/>
        <w:rPr>
          <w:sz w:val="20"/>
          <w:szCs w:val="20"/>
          <w:color w:val="auto"/>
        </w:rPr>
      </w:pPr>
    </w:p>
    <w:p>
      <w:pPr>
        <w:ind w:right="280" w:firstLine="1018"/>
        <w:spacing w:after="0" w:line="259" w:lineRule="auto"/>
        <w:rPr>
          <w:sz w:val="20"/>
          <w:szCs w:val="20"/>
          <w:color w:val="auto"/>
        </w:rPr>
      </w:pPr>
      <w:r>
        <w:rPr>
          <w:rFonts w:ascii="Arial" w:cs="Arial" w:eastAsia="Arial" w:hAnsi="Arial"/>
          <w:sz w:val="17"/>
          <w:szCs w:val="17"/>
          <w:color w:val="auto"/>
        </w:rPr>
        <w:t>In February 2021, one of the Company's named executive officers and then member of the Board of Managers of Rani LLC, and a current member of the Board of Managers of Rani LLC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80" w:firstLine="1018"/>
        <w:spacing w:after="0" w:line="243" w:lineRule="auto"/>
        <w:rPr>
          <w:sz w:val="20"/>
          <w:szCs w:val="20"/>
          <w:color w:val="auto"/>
        </w:rPr>
      </w:pPr>
      <w:r>
        <w:rPr>
          <w:rFonts w:ascii="Arial" w:cs="Arial" w:eastAsia="Arial" w:hAnsi="Arial"/>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 During the three months ended March 31, 2022, these parties to the TRA exchanged 2,309,490 Paired Interests that resulted in tax benefits subject to the TRA (Note 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12" w:lineRule="exact"/>
        <w:rPr>
          <w:sz w:val="20"/>
          <w:szCs w:val="20"/>
          <w:color w:val="auto"/>
        </w:rPr>
      </w:pPr>
    </w:p>
    <w:p>
      <w:pPr>
        <w:ind w:right="100" w:firstLine="1018"/>
        <w:spacing w:after="0"/>
        <w:rPr>
          <w:sz w:val="20"/>
          <w:szCs w:val="20"/>
          <w:color w:val="auto"/>
        </w:rPr>
      </w:pPr>
      <w:r>
        <w:rPr>
          <w:rFonts w:ascii="Arial" w:cs="Arial" w:eastAsia="Arial" w:hAnsi="Arial"/>
          <w:sz w:val="18"/>
          <w:szCs w:val="18"/>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our Class A common stock considered to be related parties were made parties to the Registration Rights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12"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The Company operates its business through Rani LLC and its subsidiary.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89" w:lineRule="exact"/>
        <w:rPr>
          <w:sz w:val="20"/>
          <w:szCs w:val="20"/>
          <w:color w:val="auto"/>
        </w:rPr>
      </w:pPr>
    </w:p>
    <w:p>
      <w:pPr>
        <w:ind w:right="360" w:firstLine="1018"/>
        <w:spacing w:after="0" w:line="261" w:lineRule="auto"/>
        <w:rPr>
          <w:sz w:val="20"/>
          <w:szCs w:val="20"/>
          <w:color w:val="auto"/>
        </w:rPr>
      </w:pPr>
      <w:r>
        <w:rPr>
          <w:rFonts w:ascii="Arial" w:cs="Arial" w:eastAsia="Arial" w:hAnsi="Arial"/>
          <w:sz w:val="18"/>
          <w:szCs w:val="18"/>
          <w:color w:val="auto"/>
        </w:rPr>
        <w:t>During the three months ended March 31, 2022, entities affiliated with ICL exchanged 2,309,490 Paired Interests for an equal number of shares of the Company's Class A common stock.</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Leases</w:t>
      </w:r>
    </w:p>
    <w:p>
      <w:pPr>
        <w:spacing w:after="0" w:line="216" w:lineRule="exact"/>
        <w:rPr>
          <w:sz w:val="20"/>
          <w:szCs w:val="20"/>
          <w:color w:val="auto"/>
        </w:rPr>
      </w:pPr>
    </w:p>
    <w:p>
      <w:pPr>
        <w:ind w:right="100" w:firstLine="1018"/>
        <w:spacing w:after="0"/>
        <w:rPr>
          <w:sz w:val="20"/>
          <w:szCs w:val="20"/>
          <w:color w:val="auto"/>
        </w:rPr>
      </w:pPr>
      <w:r>
        <w:rPr>
          <w:rFonts w:ascii="Arial" w:cs="Arial" w:eastAsia="Arial" w:hAnsi="Arial"/>
          <w:sz w:val="18"/>
          <w:szCs w:val="18"/>
          <w:color w:val="auto"/>
        </w:rPr>
        <w:t>The Company pays for the use of its office, laboratory and manufacturing facility in San Jose, California as part of the RMS-ICL Service Agreement. The RMS-ICL Service Agreement has a twelve-month term and will automatically renew for successive twelve-month periods unless RMS or ICL terminate occupancy under the RMS-ICL Service Agreement upon six months’ notice. As of March 31, 2022, the Company determined it to be reasonably certain that it would exercise its renewal option for a successive twelve-month period and this has been considered in the determination of the right-of-use assets and lease liabilities associated with the RMS-ICL Service Agreement. At March 31, 2022, the RMS-ICL Service Agreement had a remaining term of 1.8 years.</w:t>
      </w:r>
    </w:p>
    <w:p>
      <w:pPr>
        <w:spacing w:after="0" w:line="189" w:lineRule="exact"/>
        <w:rPr>
          <w:sz w:val="20"/>
          <w:szCs w:val="20"/>
          <w:color w:val="auto"/>
        </w:rPr>
      </w:pPr>
    </w:p>
    <w:p>
      <w:pPr>
        <w:ind w:right="60" w:firstLine="1018"/>
        <w:spacing w:after="0" w:line="239" w:lineRule="auto"/>
        <w:rPr>
          <w:sz w:val="20"/>
          <w:szCs w:val="20"/>
          <w:color w:val="auto"/>
        </w:rPr>
      </w:pPr>
      <w:r>
        <w:rPr>
          <w:rFonts w:ascii="Arial" w:cs="Arial" w:eastAsia="Arial" w:hAnsi="Arial"/>
          <w:sz w:val="18"/>
          <w:szCs w:val="18"/>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ICL upon a nine months’ notice of renewal prior to the end of the lease term, and the Occupancy Services in San Antonio, Texas continue until either party gives six months’ notice of termination. As of March 31, 2022, the renewal option for the facility in Milpitas, California was not deemed reasonably certain to be exercised and the Occupancy Services were considered short term.</w:t>
      </w:r>
    </w:p>
    <w:p>
      <w:pPr>
        <w:spacing w:after="0" w:line="191" w:lineRule="exact"/>
        <w:rPr>
          <w:sz w:val="20"/>
          <w:szCs w:val="20"/>
          <w:color w:val="auto"/>
        </w:rPr>
      </w:pPr>
    </w:p>
    <w:p>
      <w:pPr>
        <w:ind w:right="140" w:firstLine="1018"/>
        <w:spacing w:after="0" w:line="276" w:lineRule="auto"/>
        <w:rPr>
          <w:sz w:val="20"/>
          <w:szCs w:val="20"/>
          <w:color w:val="auto"/>
        </w:rPr>
      </w:pPr>
      <w:r>
        <w:rPr>
          <w:rFonts w:ascii="Arial" w:cs="Arial" w:eastAsia="Arial" w:hAnsi="Arial"/>
          <w:sz w:val="16"/>
          <w:szCs w:val="16"/>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Total operating lease expense incurred with ICL was $0.3 million and $0.2 million for the three months ended March 31, 2022 and 2021, respectively. Short term lease expense are included in the total operating lease expense and not immaterial for the periods presented. Variable lease payments are excluded in the total operating lease expense and immaterial for the periods presented.</w:t>
      </w:r>
    </w:p>
    <w:p>
      <w:pPr>
        <w:spacing w:after="0" w:line="162"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The Company used its IBR as the discount rate when measuring operating lease liabilities. The discount rate associated with the RMS-ICL Service Agreement is 5.0%.</w:t>
      </w:r>
    </w:p>
    <w:p>
      <w:pPr>
        <w:spacing w:after="0" w:line="171"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Supplemental information on the Company’s condensed consolidated balance sheet as of March 31, 2022 and statements of cash flow related to leases was as follows (in thousands):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4"/>
                <w:szCs w:val="14"/>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right-of-use assets</w:t>
            </w:r>
          </w:p>
        </w:tc>
        <w:tc>
          <w:tcPr>
            <w:tcW w:w="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1,159</w:t>
            </w:r>
          </w:p>
        </w:tc>
        <w:tc>
          <w:tcPr>
            <w:tcW w:w="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ind w:left="28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6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liability, net current portion</w:t>
            </w: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24"/>
        </w:trPr>
        <w:tc>
          <w:tcPr>
            <w:tcW w:w="7760" w:type="dxa"/>
            <w:vAlign w:val="bottom"/>
          </w:tcPr>
          <w:p>
            <w:pPr>
              <w:ind w:left="180"/>
              <w:spacing w:after="0"/>
              <w:rPr>
                <w:sz w:val="20"/>
                <w:szCs w:val="20"/>
                <w:color w:val="auto"/>
              </w:rPr>
            </w:pPr>
            <w:r>
              <w:rPr>
                <w:rFonts w:ascii="Arial" w:cs="Arial" w:eastAsia="Arial" w:hAnsi="Arial"/>
                <w:sz w:val="18"/>
                <w:szCs w:val="18"/>
                <w:color w:val="auto"/>
              </w:rPr>
              <w:t>Total operating lease liability</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1,159</w:t>
            </w:r>
          </w:p>
        </w:tc>
        <w:tc>
          <w:tcPr>
            <w:tcW w:w="60" w:type="dxa"/>
            <w:vAlign w:val="bottom"/>
          </w:tcPr>
          <w:p>
            <w:pPr>
              <w:spacing w:after="0"/>
              <w:rPr>
                <w:sz w:val="19"/>
                <w:szCs w:val="19"/>
                <w:color w:val="auto"/>
              </w:rPr>
            </w:pPr>
          </w:p>
        </w:tc>
      </w:tr>
      <w:tr>
        <w:trPr>
          <w:trHeight w:val="391"/>
        </w:trPr>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24"/>
                <w:szCs w:val="24"/>
                <w:color w:val="auto"/>
              </w:rPr>
            </w:pPr>
          </w:p>
        </w:tc>
      </w:tr>
      <w:tr>
        <w:trPr>
          <w:trHeight w:val="169"/>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4"/>
                <w:szCs w:val="14"/>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Cash paid for amounts included in lease liabilities: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cash flows used for operating leases</w:t>
            </w:r>
          </w:p>
        </w:tc>
        <w:tc>
          <w:tcPr>
            <w:tcW w:w="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-913765</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of March 31, 2022, minimum annual rental payments under the Company’s operating lease agreement is as follows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7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2022 (remaining nine months)</w:t>
            </w:r>
          </w:p>
        </w:tc>
        <w:tc>
          <w:tcPr>
            <w:tcW w:w="70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2023</w:t>
            </w:r>
          </w:p>
        </w:tc>
        <w:tc>
          <w:tcPr>
            <w:tcW w:w="7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690</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ind w:left="180"/>
              <w:spacing w:after="0" w:line="196" w:lineRule="exact"/>
              <w:rPr>
                <w:sz w:val="20"/>
                <w:szCs w:val="20"/>
                <w:color w:val="auto"/>
              </w:rPr>
            </w:pPr>
            <w:r>
              <w:rPr>
                <w:rFonts w:ascii="Arial" w:cs="Arial" w:eastAsia="Arial" w:hAnsi="Arial"/>
                <w:sz w:val="18"/>
                <w:szCs w:val="18"/>
                <w:color w:val="auto"/>
              </w:rPr>
              <w:t>Total undiscounted future minimum lease payments</w:t>
            </w:r>
          </w:p>
        </w:tc>
        <w:tc>
          <w:tcPr>
            <w:tcW w:w="7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1,208</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7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(49 )</w:t>
            </w:r>
          </w:p>
        </w:tc>
      </w:tr>
      <w:tr>
        <w:trPr>
          <w:trHeight w:val="196"/>
        </w:trPr>
        <w:tc>
          <w:tcPr>
            <w:tcW w:w="774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operating lease liability</w:t>
            </w:r>
          </w:p>
        </w:tc>
        <w:tc>
          <w:tcPr>
            <w:tcW w:w="7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c>
          <w:tcPr>
            <w:tcW w:w="100" w:type="dxa"/>
            <w:vAlign w:val="bottom"/>
            <w:tcBorders>
              <w:top w:val="single" w:sz="8" w:color="CFF0FC"/>
            </w:tcBorders>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8"/>
                <w:szCs w:val="18"/>
                <w:color w:val="auto"/>
              </w:rPr>
              <w:t>Less: Operating lease liability, current portion</w:t>
            </w:r>
          </w:p>
        </w:tc>
        <w:tc>
          <w:tcPr>
            <w:tcW w:w="7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740" w:type="dxa"/>
            <w:vAlign w:val="bottom"/>
          </w:tcPr>
          <w:p>
            <w:pPr>
              <w:ind w:left="180"/>
              <w:spacing w:after="0" w:line="196" w:lineRule="exact"/>
              <w:rPr>
                <w:sz w:val="20"/>
                <w:szCs w:val="20"/>
                <w:color w:val="auto"/>
              </w:rPr>
            </w:pPr>
            <w:r>
              <w:rPr>
                <w:rFonts w:ascii="Arial" w:cs="Arial" w:eastAsia="Arial" w:hAnsi="Arial"/>
                <w:sz w:val="18"/>
                <w:szCs w:val="18"/>
                <w:color w:val="auto"/>
              </w:rPr>
              <w:t>Operating lease liability, net current portion</w:t>
            </w: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-450850</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ind w:right="340" w:firstLine="1018"/>
        <w:spacing w:after="0" w:line="248" w:lineRule="auto"/>
        <w:rPr>
          <w:sz w:val="20"/>
          <w:szCs w:val="20"/>
          <w:color w:val="auto"/>
        </w:rPr>
      </w:pPr>
      <w:r>
        <w:rPr>
          <w:rFonts w:ascii="Arial" w:cs="Arial" w:eastAsia="Arial" w:hAnsi="Arial"/>
          <w:sz w:val="18"/>
          <w:szCs w:val="18"/>
          <w:color w:val="auto"/>
        </w:rPr>
        <w:t>Operating lease in the table above includes future minimum lease payments for the RMS-ICL Service Agreement. Future minimum lease payments of the Rani LLC-ICL Service Agreement for fiscal years 2022 (remaining nine months) and 2023 totaled $0.4 million and $0.1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 Members’ Deficit</w:t>
      </w:r>
    </w:p>
    <w:p>
      <w:pPr>
        <w:spacing w:after="0" w:line="216" w:lineRule="exact"/>
        <w:rPr>
          <w:sz w:val="20"/>
          <w:szCs w:val="20"/>
          <w:color w:val="auto"/>
        </w:rPr>
      </w:pPr>
    </w:p>
    <w:p>
      <w:pPr>
        <w:ind w:right="260" w:firstLine="1018"/>
        <w:spacing w:after="0" w:line="241" w:lineRule="auto"/>
        <w:rPr>
          <w:sz w:val="20"/>
          <w:szCs w:val="20"/>
          <w:color w:val="auto"/>
        </w:rPr>
      </w:pPr>
      <w:r>
        <w:rPr>
          <w:rFonts w:ascii="Arial" w:cs="Arial" w:eastAsia="Arial" w:hAnsi="Arial"/>
          <w:sz w:val="18"/>
          <w:szCs w:val="18"/>
          <w:color w:val="auto"/>
        </w:rPr>
        <w:t>Prior to the Organizational Transactions, Rani LLC was authorized to issue 101,000,000 common units, of which 10,850,000 had been reserved for issuance as Profits Interests and 32,620,000 were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89" w:lineRule="exact"/>
        <w:rPr>
          <w:sz w:val="20"/>
          <w:szCs w:val="20"/>
          <w:color w:val="auto"/>
        </w:rPr>
      </w:pPr>
    </w:p>
    <w:p>
      <w:pPr>
        <w:ind w:right="60" w:firstLine="1018"/>
        <w:spacing w:after="0" w:line="243" w:lineRule="auto"/>
        <w:rPr>
          <w:sz w:val="20"/>
          <w:szCs w:val="20"/>
          <w:color w:val="auto"/>
        </w:rPr>
      </w:pPr>
      <w:r>
        <w:rPr>
          <w:rFonts w:ascii="Arial" w:cs="Arial" w:eastAsia="Arial" w:hAnsi="Arial"/>
          <w:sz w:val="18"/>
          <w:szCs w:val="18"/>
          <w:color w:val="auto"/>
        </w:rPr>
        <w:t>The members of the Rani LLC who held these common and Preferred Units were not liable, solely by reason of being a member, for the debts, obligations, or liabilities of the Company whether arising in contract or tort; under a judgment, decree, or order of a court; or otherwise. The members were also not obligated to make capital contributions to Rani LLC and Rani LLC would have dissolved only upon a written consent of a majority of the members.</w:t>
      </w:r>
    </w:p>
    <w:p>
      <w:pPr>
        <w:spacing w:after="0" w:line="188"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The Company’s Profits Interests were subject to either a combination of service, market, or performance vesting conditions. Vested Profits Interests were treated as common units for purposes of distributions.</w:t>
      </w:r>
    </w:p>
    <w:p>
      <w:pPr>
        <w:spacing w:after="0" w:line="171"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In February 2022 and March 2022, certain of the Continuing LLC Owners executed an exchange of 4,517,105 Paired Interests and 158,051 non-corresponding Class A Units of Rani LLC in return for an equal number of shares of the Company’s Class A common stock. The corresponding shares of the Company’s Class B common stock included in the exchange of Paired Interests were subsequently cancelled and retired pursuant to the terms of the Rani LLC Agreement.</w:t>
      </w:r>
    </w:p>
    <w:p>
      <w:pPr>
        <w:spacing w:after="0" w:line="170" w:lineRule="exact"/>
        <w:rPr>
          <w:sz w:val="20"/>
          <w:szCs w:val="20"/>
          <w:color w:val="auto"/>
        </w:rPr>
      </w:pPr>
    </w:p>
    <w:p>
      <w:pPr>
        <w:ind w:left="1020" w:right="8860" w:hanging="1012"/>
        <w:spacing w:after="0" w:line="548" w:lineRule="auto"/>
        <w:tabs>
          <w:tab w:leader="none" w:pos="18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Equity-Based Compensation </w:t>
      </w:r>
      <w:r>
        <w:rPr>
          <w:rFonts w:ascii="Arial" w:cs="Arial" w:eastAsia="Arial" w:hAnsi="Arial"/>
          <w:sz w:val="16"/>
          <w:szCs w:val="16"/>
          <w:i w:val="1"/>
          <w:iCs w:val="1"/>
          <w:color w:val="auto"/>
        </w:rPr>
        <w:t>Stock Options</w:t>
      </w:r>
    </w:p>
    <w:p>
      <w:pPr>
        <w:ind w:left="1080"/>
        <w:spacing w:after="0"/>
        <w:rPr>
          <w:rFonts w:ascii="Arial" w:cs="Arial" w:eastAsia="Arial" w:hAnsi="Arial"/>
          <w:sz w:val="16"/>
          <w:szCs w:val="16"/>
          <w:b w:val="1"/>
          <w:bCs w:val="1"/>
          <w:color w:val="auto"/>
        </w:rPr>
      </w:pPr>
      <w:r>
        <w:rPr>
          <w:rFonts w:ascii="Arial" w:cs="Arial" w:eastAsia="Arial" w:hAnsi="Arial"/>
          <w:sz w:val="18"/>
          <w:szCs w:val="18"/>
          <w:color w:val="auto"/>
        </w:rPr>
        <w:t>A summary of stock option activity during the periods indicated is as follows: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6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 Stock</w:t>
            </w:r>
          </w:p>
        </w:tc>
        <w:tc>
          <w:tcPr>
            <w:tcW w:w="136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w w:val="98"/>
              </w:rPr>
              <w:t>Weighted Average</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Aggregate 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Exercise Price</w:t>
            </w: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Value (in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2,300,819</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14.12</w:t>
            </w:r>
          </w:p>
        </w:tc>
        <w:tc>
          <w:tcPr>
            <w:tcW w:w="20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9.55</w:t>
            </w:r>
          </w:p>
        </w:tc>
        <w:tc>
          <w:tcPr>
            <w:tcW w:w="18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2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1,081,437</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13.38</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9.96</w:t>
            </w:r>
          </w:p>
        </w:tc>
        <w:tc>
          <w:tcPr>
            <w:tcW w:w="680" w:type="dxa"/>
            <w:vAlign w:val="bottom"/>
            <w:gridSpan w:val="2"/>
          </w:tcPr>
          <w:p>
            <w:pPr>
              <w:jc w:val="right"/>
              <w:ind w:right="32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(6,500 )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26.78</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at March 31, 2022</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3,375,756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13.86</w:t>
            </w:r>
          </w:p>
        </w:tc>
        <w:tc>
          <w:tcPr>
            <w:tcW w:w="156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9.53</w:t>
            </w:r>
          </w:p>
        </w:tc>
        <w:tc>
          <w:tcPr>
            <w:tcW w:w="680" w:type="dxa"/>
            <w:vAlign w:val="bottom"/>
            <w:tcBorders>
              <w:top w:val="single" w:sz="8" w:color="CFF0FC"/>
            </w:tcBorders>
            <w:gridSpan w:val="2"/>
          </w:tcPr>
          <w:p>
            <w:pPr>
              <w:jc w:val="right"/>
              <w:ind w:right="322"/>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5,677</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Exercisable at March 31, 2022</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133,775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9.44</w:t>
            </w:r>
          </w:p>
        </w:tc>
        <w:tc>
          <w:tcPr>
            <w:tcW w:w="15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9.21</w:t>
            </w:r>
          </w:p>
        </w:tc>
        <w:tc>
          <w:tcPr>
            <w:tcW w:w="680" w:type="dxa"/>
            <w:vAlign w:val="bottom"/>
            <w:tcBorders>
              <w:bottom w:val="single" w:sz="8" w:color="CFF0FC"/>
            </w:tcBorders>
            <w:gridSpan w:val="2"/>
            <w:shd w:val="clear" w:color="auto" w:fill="CFF0FC"/>
          </w:tcPr>
          <w:p>
            <w:pPr>
              <w:jc w:val="right"/>
              <w:ind w:right="322"/>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line="182" w:lineRule="exact"/>
              <w:rPr>
                <w:sz w:val="20"/>
                <w:szCs w:val="20"/>
                <w:color w:val="auto"/>
              </w:rPr>
            </w:pPr>
            <w:r>
              <w:rPr>
                <w:rFonts w:ascii="Arial" w:cs="Arial" w:eastAsia="Arial" w:hAnsi="Arial"/>
                <w:sz w:val="18"/>
                <w:szCs w:val="18"/>
                <w:color w:val="auto"/>
              </w:rPr>
              <w:t>Nonvested at March 31, 2022</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3,241,981</w:t>
            </w:r>
          </w:p>
        </w:tc>
        <w:tc>
          <w:tcPr>
            <w:tcW w:w="2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14.04</w:t>
            </w:r>
          </w:p>
        </w:tc>
        <w:tc>
          <w:tcPr>
            <w:tcW w:w="1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9.54</w:t>
            </w:r>
          </w:p>
        </w:tc>
        <w:tc>
          <w:tcPr>
            <w:tcW w:w="680" w:type="dxa"/>
            <w:vAlign w:val="bottom"/>
            <w:gridSpan w:val="2"/>
          </w:tcPr>
          <w:p>
            <w:pPr>
              <w:jc w:val="right"/>
              <w:ind w:right="322"/>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5,134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-467995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-179705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-162560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640" w:firstLine="1018"/>
        <w:spacing w:after="0" w:line="261" w:lineRule="auto"/>
        <w:rPr>
          <w:sz w:val="20"/>
          <w:szCs w:val="20"/>
          <w:color w:val="auto"/>
        </w:rPr>
      </w:pPr>
      <w:r>
        <w:rPr>
          <w:rFonts w:ascii="Arial" w:cs="Arial" w:eastAsia="Arial" w:hAnsi="Arial"/>
          <w:sz w:val="18"/>
          <w:szCs w:val="18"/>
          <w:color w:val="auto"/>
        </w:rPr>
        <w:t>As of March 31, 2022, there was $27.8 million of unrecognized equity-based compensation expense related to stock options which is expected to be recognized over a weighted-average period of approximately 3.3 years.</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Units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RSU activity during the periods indicated is as follows: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Number of Restricted Stock</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Weighted Average Grant-Date</w:t>
            </w:r>
          </w:p>
        </w:tc>
        <w:tc>
          <w:tcPr>
            <w:tcW w:w="6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6"/>
                <w:szCs w:val="16"/>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 per Share</w:t>
            </w:r>
          </w:p>
        </w:tc>
        <w:tc>
          <w:tcPr>
            <w:tcW w:w="60" w:type="dxa"/>
            <w:vAlign w:val="bottom"/>
          </w:tcPr>
          <w:p>
            <w:pPr>
              <w:spacing w:after="0"/>
              <w:rPr>
                <w:sz w:val="16"/>
                <w:szCs w:val="16"/>
                <w:color w:val="auto"/>
              </w:rPr>
            </w:pPr>
          </w:p>
        </w:tc>
      </w:tr>
      <w:tr>
        <w:trPr>
          <w:trHeight w:val="19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596,500</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19.56</w:t>
            </w:r>
          </w:p>
        </w:tc>
        <w:tc>
          <w:tcPr>
            <w:tcW w:w="60" w:type="dxa"/>
            <w:vAlign w:val="bottom"/>
            <w:shd w:val="clear" w:color="auto" w:fill="CFF0FC"/>
          </w:tcPr>
          <w:p>
            <w:pPr>
              <w:spacing w:after="0"/>
              <w:rPr>
                <w:sz w:val="17"/>
                <w:szCs w:val="17"/>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443,400</w:t>
            </w:r>
          </w:p>
        </w:tc>
        <w:tc>
          <w:tcPr>
            <w:tcW w:w="30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13.21</w:t>
            </w:r>
          </w:p>
        </w:tc>
        <w:tc>
          <w:tcPr>
            <w:tcW w:w="60" w:type="dxa"/>
            <w:vAlign w:val="bottom"/>
          </w:tcPr>
          <w:p>
            <w:pPr>
              <w:spacing w:after="0"/>
              <w:rPr>
                <w:sz w:val="17"/>
                <w:szCs w:val="17"/>
                <w:color w:val="auto"/>
              </w:rPr>
            </w:pPr>
          </w:p>
        </w:tc>
      </w:tr>
      <w:tr>
        <w:trPr>
          <w:trHeight w:val="203"/>
        </w:trPr>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22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(43,400 )</w:t>
            </w: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19.56</w:t>
            </w:r>
          </w:p>
        </w:tc>
        <w:tc>
          <w:tcPr>
            <w:tcW w:w="60" w:type="dxa"/>
            <w:vAlign w:val="bottom"/>
            <w:shd w:val="clear" w:color="auto" w:fill="CFF0FC"/>
          </w:tcPr>
          <w:p>
            <w:pPr>
              <w:spacing w:after="0"/>
              <w:rPr>
                <w:sz w:val="17"/>
                <w:szCs w:val="17"/>
                <w:color w:val="auto"/>
              </w:rPr>
            </w:pPr>
          </w:p>
        </w:tc>
      </w:tr>
      <w:tr>
        <w:trPr>
          <w:trHeight w:val="196"/>
        </w:trPr>
        <w:tc>
          <w:tcPr>
            <w:tcW w:w="52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at March 31, 2022</w:t>
            </w:r>
          </w:p>
        </w:tc>
        <w:tc>
          <w:tcPr>
            <w:tcW w:w="1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996,500</w:t>
            </w: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w:t>
            </w:r>
          </w:p>
        </w:tc>
        <w:tc>
          <w:tcPr>
            <w:tcW w:w="17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16.73</w:t>
            </w:r>
          </w:p>
        </w:tc>
        <w:tc>
          <w:tcPr>
            <w:tcW w:w="60" w:type="dxa"/>
            <w:vAlign w:val="bottom"/>
            <w:tcBorders>
              <w:top w:val="single" w:sz="8" w:color="CFF0FC"/>
            </w:tcBorders>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-159385</wp:posOffset>
            </wp:positionV>
            <wp:extent cx="596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ind w:right="80" w:firstLine="1018"/>
        <w:spacing w:after="0" w:line="261" w:lineRule="auto"/>
        <w:rPr>
          <w:sz w:val="20"/>
          <w:szCs w:val="20"/>
          <w:color w:val="auto"/>
        </w:rPr>
      </w:pPr>
      <w:r>
        <w:rPr>
          <w:rFonts w:ascii="Arial" w:cs="Arial" w:eastAsia="Arial" w:hAnsi="Arial"/>
          <w:sz w:val="18"/>
          <w:szCs w:val="18"/>
          <w:color w:val="auto"/>
        </w:rPr>
        <w:t>As of March 31, 2022, there was $13.6 million of unrecognized equity-based compensation expense related to RSUs which is expected to be recognized over a weighted-average period of approximately 2.6 years.</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Awards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RSA activity during the periods indicated is as follows: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Number of Restricted Stock</w:t>
            </w: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Weighted Average Grant-Date</w:t>
            </w:r>
          </w:p>
        </w:tc>
        <w:tc>
          <w:tcPr>
            <w:tcW w:w="60" w:type="dxa"/>
            <w:vAlign w:val="bottom"/>
          </w:tcPr>
          <w:p>
            <w:pPr>
              <w:spacing w:after="0"/>
              <w:rPr>
                <w:sz w:val="14"/>
                <w:szCs w:val="14"/>
                <w:color w:val="auto"/>
              </w:rPr>
            </w:pPr>
          </w:p>
        </w:tc>
      </w:tr>
      <w:tr>
        <w:trPr>
          <w:trHeight w:val="185"/>
        </w:trPr>
        <w:tc>
          <w:tcPr>
            <w:tcW w:w="5240" w:type="dxa"/>
            <w:vAlign w:val="bottom"/>
          </w:tcPr>
          <w:p>
            <w:pPr>
              <w:spacing w:after="0"/>
              <w:rPr>
                <w:sz w:val="16"/>
                <w:szCs w:val="16"/>
                <w:color w:val="auto"/>
              </w:rPr>
            </w:pPr>
          </w:p>
        </w:tc>
        <w:tc>
          <w:tcPr>
            <w:tcW w:w="22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6"/>
                <w:szCs w:val="16"/>
                <w:color w:val="auto"/>
              </w:rPr>
            </w:pPr>
          </w:p>
        </w:tc>
        <w:tc>
          <w:tcPr>
            <w:tcW w:w="1740" w:type="dxa"/>
            <w:vAlign w:val="bottom"/>
          </w:tcPr>
          <w:p>
            <w:pPr>
              <w:jc w:val="right"/>
              <w:ind w:right="255"/>
              <w:spacing w:after="0"/>
              <w:rPr>
                <w:sz w:val="20"/>
                <w:szCs w:val="20"/>
                <w:color w:val="auto"/>
              </w:rPr>
            </w:pPr>
            <w:r>
              <w:rPr>
                <w:rFonts w:ascii="Arial" w:cs="Arial" w:eastAsia="Arial" w:hAnsi="Arial"/>
                <w:sz w:val="14"/>
                <w:szCs w:val="14"/>
                <w:b w:val="1"/>
                <w:bCs w:val="1"/>
                <w:color w:val="auto"/>
              </w:rPr>
              <w:t>Fair Value per Share</w:t>
            </w:r>
          </w:p>
        </w:tc>
        <w:tc>
          <w:tcPr>
            <w:tcW w:w="60" w:type="dxa"/>
            <w:vAlign w:val="bottom"/>
          </w:tcPr>
          <w:p>
            <w:pPr>
              <w:spacing w:after="0"/>
              <w:rPr>
                <w:sz w:val="16"/>
                <w:szCs w:val="16"/>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113,173</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6.15</w:t>
            </w:r>
          </w:p>
        </w:tc>
        <w:tc>
          <w:tcPr>
            <w:tcW w:w="6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2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(16,810 )</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60" w:type="dxa"/>
            <w:vAlign w:val="bottom"/>
          </w:tcPr>
          <w:p>
            <w:pPr>
              <w:spacing w:after="0"/>
              <w:rPr>
                <w:sz w:val="17"/>
                <w:szCs w:val="17"/>
                <w:color w:val="auto"/>
              </w:rPr>
            </w:pPr>
          </w:p>
        </w:tc>
      </w:tr>
      <w:tr>
        <w:trPr>
          <w:trHeight w:val="236"/>
        </w:trPr>
        <w:tc>
          <w:tcPr>
            <w:tcW w:w="524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Arial" w:cs="Arial" w:eastAsia="Arial" w:hAnsi="Arial"/>
                <w:sz w:val="18"/>
                <w:szCs w:val="18"/>
                <w:color w:val="auto"/>
              </w:rPr>
              <w:t>Balance at March 31, 2022</w:t>
            </w:r>
          </w:p>
        </w:tc>
        <w:tc>
          <w:tcPr>
            <w:tcW w:w="1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96,363</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6.15</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-162560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180" w:firstLine="1018"/>
        <w:spacing w:after="0" w:line="248" w:lineRule="auto"/>
        <w:rPr>
          <w:sz w:val="20"/>
          <w:szCs w:val="20"/>
          <w:color w:val="auto"/>
        </w:rPr>
      </w:pPr>
      <w:r>
        <w:rPr>
          <w:rFonts w:ascii="Arial" w:cs="Arial" w:eastAsia="Arial" w:hAnsi="Arial"/>
          <w:sz w:val="18"/>
          <w:szCs w:val="18"/>
          <w:color w:val="auto"/>
        </w:rPr>
        <w:t>As of March 31, 2022, there was $0.3 million of unrecognized equity-based compensation expense related to RSAs which is expected to be recognized over a weighted-average period of approximately 1.4 years. The total fair value of the RSAs that vested in 2022 was approximately $0.2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212" w:lineRule="exact"/>
        <w:rPr>
          <w:sz w:val="20"/>
          <w:szCs w:val="20"/>
          <w:color w:val="auto"/>
        </w:rPr>
      </w:pPr>
    </w:p>
    <w:p>
      <w:pPr>
        <w:ind w:right="120" w:firstLine="1018"/>
        <w:spacing w:after="0" w:line="248" w:lineRule="auto"/>
        <w:rPr>
          <w:sz w:val="20"/>
          <w:szCs w:val="20"/>
          <w:color w:val="auto"/>
        </w:rPr>
      </w:pPr>
      <w:r>
        <w:rPr>
          <w:rFonts w:ascii="Arial" w:cs="Arial" w:eastAsia="Arial" w:hAnsi="Arial"/>
          <w:sz w:val="18"/>
          <w:szCs w:val="18"/>
          <w:color w:val="auto"/>
        </w:rPr>
        <w:t>The following table summarizes the components of equity-based compensation expense resulting from the grant of stock options, RSUs and RSAs, and a secondary sales transaction entered into in February 2021, recorded in the Company’s condensed consolidated statement of operations and comprehensive loss (in thousands):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467"/>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3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36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Research and development</w:t>
            </w:r>
          </w:p>
        </w:tc>
        <w:tc>
          <w:tcPr>
            <w:tcW w:w="1340" w:type="dxa"/>
            <w:vAlign w:val="bottom"/>
            <w:tcBorders>
              <w:top w:val="single" w:sz="8" w:color="auto"/>
            </w:tcBorders>
            <w:shd w:val="clear" w:color="auto" w:fill="CFF0FC"/>
          </w:tcPr>
          <w:p>
            <w:pPr>
              <w:jc w:val="right"/>
              <w:ind w:right="115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1,246</w:t>
            </w:r>
          </w:p>
        </w:tc>
        <w:tc>
          <w:tcPr>
            <w:tcW w:w="24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w:t>
            </w:r>
          </w:p>
        </w:tc>
        <w:tc>
          <w:tcPr>
            <w:tcW w:w="60" w:type="dxa"/>
            <w:vAlign w:val="bottom"/>
            <w:shd w:val="clear" w:color="auto" w:fill="CFF0FC"/>
          </w:tcPr>
          <w:p>
            <w:pPr>
              <w:spacing w:after="0"/>
              <w:rPr>
                <w:sz w:val="17"/>
                <w:szCs w:val="17"/>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1,659</w:t>
            </w:r>
          </w:p>
        </w:tc>
        <w:tc>
          <w:tcPr>
            <w:tcW w:w="24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w:t>
            </w:r>
          </w:p>
        </w:tc>
        <w:tc>
          <w:tcPr>
            <w:tcW w:w="60" w:type="dxa"/>
            <w:vAlign w:val="bottom"/>
          </w:tcPr>
          <w:p>
            <w:pPr>
              <w:spacing w:after="0"/>
              <w:rPr>
                <w:sz w:val="17"/>
                <w:szCs w:val="17"/>
                <w:color w:val="auto"/>
              </w:rPr>
            </w:pPr>
          </w:p>
        </w:tc>
      </w:tr>
      <w:tr>
        <w:trPr>
          <w:trHeight w:val="236"/>
        </w:trPr>
        <w:tc>
          <w:tcPr>
            <w:tcW w:w="536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equity-based compensation</w:t>
            </w:r>
          </w:p>
        </w:tc>
        <w:tc>
          <w:tcPr>
            <w:tcW w:w="1340" w:type="dxa"/>
            <w:vAlign w:val="bottom"/>
            <w:tcBorders>
              <w:bottom w:val="single" w:sz="8" w:color="auto"/>
            </w:tcBorders>
            <w:shd w:val="clear" w:color="auto" w:fill="CFF0FC"/>
          </w:tcPr>
          <w:p>
            <w:pPr>
              <w:jc w:val="right"/>
              <w:ind w:right="115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2,905</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ind w:right="120" w:firstLine="1018"/>
        <w:spacing w:after="0"/>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80" w:firstLine="1018"/>
        <w:spacing w:after="0" w:line="241" w:lineRule="auto"/>
        <w:rPr>
          <w:sz w:val="20"/>
          <w:szCs w:val="20"/>
          <w:color w:val="auto"/>
        </w:rPr>
      </w:pPr>
      <w:r>
        <w:rPr>
          <w:rFonts w:ascii="Arial" w:cs="Arial" w:eastAsia="Arial" w:hAnsi="Arial"/>
          <w:sz w:val="18"/>
          <w:szCs w:val="18"/>
          <w:color w:val="auto"/>
        </w:rPr>
        <w:t>The Company is party to a TRA with certain of the Continuing LLC Owners (Note 2). As of March 31, 2022,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$19.9 million at March 31, 2022.</w:t>
      </w:r>
    </w:p>
    <w:p>
      <w:pPr>
        <w:spacing w:after="0" w:line="189" w:lineRule="exact"/>
        <w:rPr>
          <w:sz w:val="20"/>
          <w:szCs w:val="20"/>
          <w:color w:val="auto"/>
        </w:rPr>
      </w:pPr>
    </w:p>
    <w:p>
      <w:pPr>
        <w:ind w:firstLine="1018"/>
        <w:spacing w:after="0" w:line="294"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35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Long-Term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ind w:right="100" w:firstLine="1018"/>
        <w:spacing w:after="0" w:line="239" w:lineRule="auto"/>
        <w:rPr>
          <w:sz w:val="20"/>
          <w:szCs w:val="20"/>
          <w:color w:val="auto"/>
        </w:rPr>
      </w:pPr>
      <w:r>
        <w:rPr>
          <w:rFonts w:ascii="Arial" w:cs="Arial" w:eastAsia="Arial" w:hAnsi="Arial"/>
          <w:sz w:val="18"/>
          <w:szCs w:val="18"/>
          <w:color w:val="auto"/>
        </w:rPr>
        <w:t>In September 2020, Rani LLC, entered into a secured convertible loan agreement (the “Loan and Security Agreement” or the “Loan”) with Avenue Venture Opportunity Fund L.P. (“Avenue”), whereby Rani LLC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Rani LLC opted not to draw down this additional amount, and the option has since expired undrawn. In exchange for access to this facility, Rani LLC agreed to issue warrants exercisable into Rani LLC preferred units amounting to $0.9 million; Rani LLC subsequently granted 118,929 Series E warrants with an exercise price of $7.1471 per unit.</w:t>
      </w:r>
    </w:p>
    <w:p>
      <w:pPr>
        <w:spacing w:after="0" w:line="191" w:lineRule="exact"/>
        <w:rPr>
          <w:sz w:val="20"/>
          <w:szCs w:val="20"/>
          <w:color w:val="auto"/>
        </w:rPr>
      </w:pPr>
    </w:p>
    <w:p>
      <w:pPr>
        <w:jc w:val="both"/>
        <w:ind w:right="220" w:firstLine="1018"/>
        <w:spacing w:after="0" w:line="294" w:lineRule="auto"/>
        <w:rPr>
          <w:sz w:val="20"/>
          <w:szCs w:val="20"/>
          <w:color w:val="auto"/>
        </w:rPr>
      </w:pPr>
      <w:r>
        <w:rPr>
          <w:rFonts w:ascii="Arial" w:cs="Arial" w:eastAsia="Arial" w:hAnsi="Arial"/>
          <w:sz w:val="16"/>
          <w:szCs w:val="16"/>
          <w:color w:val="auto"/>
        </w:rPr>
        <w:t>In July 2021, the Company repaid, in full, the $3.0 million of principal and approximately $0.5 million of final payment and fees under the Loan and Security Agreement resulting in a $0.7 million loss on extinguishment of debt recorded in the Company's condensed consolidated statement of operations and comprehensive loss in 2021. Avenue Capital also waived their right to convert the outstanding principal into Series E Preferred Units.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12" w:lineRule="exact"/>
        <w:rPr>
          <w:sz w:val="20"/>
          <w:szCs w:val="20"/>
          <w:color w:val="auto"/>
        </w:rPr>
      </w:pPr>
    </w:p>
    <w:p>
      <w:pPr>
        <w:ind w:right="80" w:firstLine="1018"/>
        <w:spacing w:after="0" w:line="243" w:lineRule="auto"/>
        <w:rPr>
          <w:sz w:val="20"/>
          <w:szCs w:val="20"/>
          <w:color w:val="auto"/>
        </w:rPr>
      </w:pPr>
      <w:r>
        <w:rPr>
          <w:rFonts w:ascii="Arial" w:cs="Arial" w:eastAsia="Arial" w:hAnsi="Arial"/>
          <w:sz w:val="18"/>
          <w:szCs w:val="18"/>
          <w:color w:val="auto"/>
        </w:rPr>
        <w:t>In April 2020, the Company received a $1.3 million small business loan under the Paycheck Protection Program (“PPP Loan”) as part of the CARES Act. The PPP Loan was due to mature in April 2022, and bore interest at a rate of 1.0% per annum. The PPP Loan was evidenced by a promissory note, which contained customary events of default relating to, among other things, payment defaults and breaches of representations and warranties. The PPP Loan could be prepaid at any time prior to maturity with no prepayment penalties.</w:t>
      </w:r>
    </w:p>
    <w:p>
      <w:pPr>
        <w:spacing w:after="0" w:line="188" w:lineRule="exact"/>
        <w:rPr>
          <w:sz w:val="20"/>
          <w:szCs w:val="20"/>
          <w:color w:val="auto"/>
        </w:rPr>
      </w:pPr>
    </w:p>
    <w:p>
      <w:pPr>
        <w:ind w:right="40" w:firstLine="1018"/>
        <w:spacing w:after="0" w:line="261" w:lineRule="auto"/>
        <w:rPr>
          <w:sz w:val="20"/>
          <w:szCs w:val="20"/>
          <w:color w:val="auto"/>
        </w:rPr>
      </w:pPr>
      <w:r>
        <w:rPr>
          <w:rFonts w:ascii="Arial" w:cs="Arial" w:eastAsia="Arial" w:hAnsi="Arial"/>
          <w:sz w:val="18"/>
          <w:szCs w:val="18"/>
          <w:color w:val="auto"/>
        </w:rPr>
        <w:t>The Company used all proceeds from the PPP Loan to retain employees, maintain payroll and make lease and utility payments. In September 2021, the Company repaid in full the $1.3 million of principal and interest related to the PPP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ind w:right="20" w:firstLine="1018"/>
        <w:spacing w:after="0" w:line="255" w:lineRule="auto"/>
        <w:rPr>
          <w:sz w:val="20"/>
          <w:szCs w:val="20"/>
          <w:color w:val="auto"/>
        </w:rPr>
      </w:pPr>
      <w:r>
        <w:rPr>
          <w:rFonts w:ascii="Arial" w:cs="Arial" w:eastAsia="Arial" w:hAnsi="Arial"/>
          <w:sz w:val="17"/>
          <w:szCs w:val="17"/>
          <w:color w:val="auto"/>
        </w:rPr>
        <w:t>The Company is the managing member of Rani LLC and, as a result, consolidates the financial results of Rani LLC and its taxable subsidiary RMS in the condensed consolidated financial statements.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the it, based on the its economic interest in Rani LLC. The Company's tax provision also includes the activity of RMS, which is taxed as a corporation for United States federal and state income tax purposes.</w:t>
      </w:r>
    </w:p>
    <w:p>
      <w:pPr>
        <w:spacing w:after="0" w:line="180" w:lineRule="exact"/>
        <w:rPr>
          <w:sz w:val="20"/>
          <w:szCs w:val="20"/>
          <w:color w:val="auto"/>
        </w:rPr>
      </w:pPr>
    </w:p>
    <w:p>
      <w:pPr>
        <w:ind w:right="20" w:firstLine="1018"/>
        <w:spacing w:after="0" w:line="241" w:lineRule="auto"/>
        <w:rPr>
          <w:sz w:val="20"/>
          <w:szCs w:val="20"/>
          <w:color w:val="auto"/>
        </w:rPr>
      </w:pPr>
      <w:r>
        <w:rPr>
          <w:rFonts w:ascii="Arial" w:cs="Arial" w:eastAsia="Arial" w:hAnsi="Arial"/>
          <w:sz w:val="18"/>
          <w:szCs w:val="18"/>
          <w:color w:val="auto"/>
        </w:rPr>
        <w:t>The Company’s effective income tax rate was (0.10)% and (0.21)% for the three months ended March 31, 2022 and 2021, respectively. As a result of the February 2022 and March 2022 exchanges (Note 8), the Company recorded a $17.4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likely to be realized and, accordingly, has recognized a full valuation allowance on its deferred tax assets.</w:t>
      </w:r>
    </w:p>
    <w:p>
      <w:pPr>
        <w:spacing w:after="0" w:line="189" w:lineRule="exact"/>
        <w:rPr>
          <w:sz w:val="20"/>
          <w:szCs w:val="20"/>
          <w:color w:val="auto"/>
        </w:rPr>
      </w:pPr>
    </w:p>
    <w:p>
      <w:pPr>
        <w:ind w:right="180" w:firstLine="1018"/>
        <w:spacing w:after="0" w:line="261" w:lineRule="auto"/>
        <w:rPr>
          <w:sz w:val="20"/>
          <w:szCs w:val="20"/>
          <w:color w:val="auto"/>
        </w:rPr>
      </w:pPr>
      <w:r>
        <w:rPr>
          <w:rFonts w:ascii="Arial" w:cs="Arial" w:eastAsia="Arial" w:hAnsi="Arial"/>
          <w:sz w:val="18"/>
          <w:szCs w:val="18"/>
          <w:color w:val="auto"/>
        </w:rPr>
        <w:t>There were no material changes to uncertain tax positions for the three months ended March 31, 2022 and 2021, and the Company does not anticipate material changes within the next 12 months.</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Net Loss Per Share</w:t>
      </w:r>
    </w:p>
    <w:p>
      <w:pPr>
        <w:spacing w:after="0" w:line="216" w:lineRule="exact"/>
        <w:rPr>
          <w:sz w:val="20"/>
          <w:szCs w:val="20"/>
          <w:color w:val="auto"/>
        </w:rPr>
      </w:pPr>
    </w:p>
    <w:p>
      <w:pPr>
        <w:ind w:right="460" w:firstLine="1018"/>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Class A common share attributable to Rani Holdings (in thousands, except per share data):</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5"/>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9"/>
        </w:trPr>
        <w:tc>
          <w:tcPr>
            <w:tcW w:w="75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Net loss per Class A common share attributable to Rani Therapeutics Holdings, Inc.</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(6,223 )</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Weighted average Class A common share outstanding—basic and diluted</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5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w w:val="98"/>
              </w:rPr>
              <w:t>Net loss per Class A common share attributable to Rani Therapeutics Holdings, Inc.—basic and</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diluted</w:t>
            </w:r>
          </w:p>
        </w:tc>
        <w:tc>
          <w:tcPr>
            <w:tcW w:w="200" w:type="dxa"/>
            <w:vAlign w:val="bottom"/>
            <w:vMerge w:val="continue"/>
            <w:shd w:val="clear" w:color="auto" w:fill="CFF0FC"/>
          </w:tcPr>
          <w:p>
            <w:pPr>
              <w:spacing w:after="0"/>
              <w:rPr>
                <w:sz w:val="17"/>
                <w:szCs w:val="17"/>
                <w:color w:val="auto"/>
              </w:rPr>
            </w:pPr>
          </w:p>
        </w:tc>
        <w:tc>
          <w:tcPr>
            <w:tcW w:w="18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-664845</wp:posOffset>
            </wp:positionV>
            <wp:extent cx="6032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right="20" w:firstLine="1018"/>
        <w:spacing w:after="0" w:line="261"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Class A common share attributable to Rani Holdings:</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r>
      <w:tr>
        <w:trPr>
          <w:trHeight w:val="185"/>
        </w:trPr>
        <w:tc>
          <w:tcPr>
            <w:tcW w:w="75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6"/>
                <w:szCs w:val="16"/>
                <w:color w:val="auto"/>
              </w:rPr>
            </w:pPr>
          </w:p>
        </w:tc>
      </w:tr>
      <w:tr>
        <w:trPr>
          <w:trHeight w:val="156"/>
        </w:trPr>
        <w:tc>
          <w:tcPr>
            <w:tcW w:w="7520" w:type="dxa"/>
            <w:vAlign w:val="bottom"/>
          </w:tcPr>
          <w:p>
            <w:pPr>
              <w:spacing w:after="0"/>
              <w:rPr>
                <w:sz w:val="13"/>
                <w:szCs w:val="13"/>
                <w:color w:val="auto"/>
              </w:rPr>
            </w:pPr>
          </w:p>
        </w:tc>
        <w:tc>
          <w:tcPr>
            <w:tcW w:w="1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3"/>
                <w:szCs w:val="13"/>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Paired Interests</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24,773,286</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3,375,756</w:t>
            </w: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Class A Units of Rani LLC exchangeable for Class A common stock</w:t>
            </w: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1,387,471</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996,500</w:t>
            </w:r>
          </w:p>
        </w:tc>
        <w:tc>
          <w:tcPr>
            <w:tcW w:w="6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Restricted stock awards</w:t>
            </w: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96,363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30,629,376</w:t>
            </w:r>
          </w:p>
        </w:tc>
        <w:tc>
          <w:tcPr>
            <w:tcW w:w="6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-937895</wp:posOffset>
            </wp:positionV>
            <wp:extent cx="5969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wp:posOffset>
            </wp:positionV>
            <wp:extent cx="342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260" w:firstLine="1018"/>
        <w:spacing w:after="0" w:line="243" w:lineRule="auto"/>
        <w:rPr>
          <w:sz w:val="20"/>
          <w:szCs w:val="20"/>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three months ended March 31, 2022. Therefore, they are not included in the computation of net loss per Class A common share attributable to Rani Holdings.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ind w:right="60" w:firstLine="1018"/>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on Form 10-Q and the audited consolidated financial statements and notes thereto included in our Annual Report on Form 10-K for the year ended December 31, 2021,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our Annual Report on Form 10-K for the year ended December 31, 2021. Please also see the section titled “Forward Looking Statements.”</w:t>
      </w:r>
    </w:p>
    <w:p>
      <w:pPr>
        <w:spacing w:after="0" w:line="194" w:lineRule="exact"/>
        <w:rPr>
          <w:sz w:val="20"/>
          <w:szCs w:val="20"/>
          <w:color w:val="auto"/>
        </w:rPr>
      </w:pPr>
    </w:p>
    <w:p>
      <w:pPr>
        <w:ind w:right="80" w:firstLine="1018"/>
        <w:spacing w:after="0" w:line="262" w:lineRule="auto"/>
        <w:rPr>
          <w:sz w:val="20"/>
          <w:szCs w:val="20"/>
          <w:color w:val="auto"/>
        </w:rPr>
      </w:pPr>
      <w:r>
        <w:rPr>
          <w:rFonts w:ascii="Arial" w:cs="Arial" w:eastAsia="Arial" w:hAnsi="Arial"/>
          <w:sz w:val="17"/>
          <w:szCs w:val="17"/>
          <w:i w:val="1"/>
          <w:iCs w:val="1"/>
          <w:color w:val="auto"/>
        </w:rPr>
        <w:t>The following discussion contains references to calendar year 2021 and the three months ended March 31, 2022 and 2021, respectively, which represents the condensed consolidated financial results of Rani Therapeutics Holdings, Inc. (the "Company") and its subsidiaries for the year ended December 31, 2021 and the three months ended March 31, 2022 and 2021, respectively. Unless we state otherwise or the context otherwise requires, the terms “we,” “us,” “our,” and “Rani” and similar references refers to the Company and its consolidated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right="500" w:firstLine="1018"/>
        <w:spacing w:after="0" w:line="248"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82" w:lineRule="exact"/>
        <w:rPr>
          <w:sz w:val="20"/>
          <w:szCs w:val="20"/>
          <w:color w:val="auto"/>
        </w:rPr>
      </w:pPr>
    </w:p>
    <w:p>
      <w:pPr>
        <w:ind w:right="40" w:firstLine="1018"/>
        <w:spacing w:after="0" w:line="257" w:lineRule="auto"/>
        <w:rPr>
          <w:sz w:val="20"/>
          <w:szCs w:val="20"/>
          <w:color w:val="auto"/>
        </w:rPr>
      </w:pPr>
      <w:r>
        <w:rPr>
          <w:rFonts w:ascii="Arial" w:cs="Arial" w:eastAsia="Arial" w:hAnsi="Arial"/>
          <w:sz w:val="17"/>
          <w:szCs w:val="17"/>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 Together, we believe that the current RaniPill capsule and RaniPill HC could enable us to deliver most biologics currently on the market via a convenient, oral daily dose.</w:t>
      </w:r>
    </w:p>
    <w:p>
      <w:pPr>
        <w:spacing w:after="0" w:line="175" w:lineRule="exact"/>
        <w:rPr>
          <w:sz w:val="20"/>
          <w:szCs w:val="20"/>
          <w:color w:val="auto"/>
        </w:rPr>
      </w:pPr>
    </w:p>
    <w:p>
      <w:pPr>
        <w:ind w:right="120" w:firstLine="1018"/>
        <w:spacing w:after="0" w:line="294" w:lineRule="auto"/>
        <w:rPr>
          <w:sz w:val="20"/>
          <w:szCs w:val="20"/>
          <w:color w:val="auto"/>
        </w:rPr>
      </w:pPr>
      <w:r>
        <w:rPr>
          <w:rFonts w:ascii="Arial" w:cs="Arial" w:eastAsia="Arial" w:hAnsi="Arial"/>
          <w:sz w:val="16"/>
          <w:szCs w:val="16"/>
          <w:color w:val="auto"/>
        </w:rPr>
        <w:t>Since our inception in 2012, we have devoted the majority of our resources to research and development, manufacturing automation and scaleup, and establishing our intellectual property portfolio. To date, we have financed our operations primarily through the initial public offering ("IPO"), private placements of preferred units, issuance of convertible promissory notes, and contract revenue generated from our evaluation agreements.</w:t>
      </w:r>
    </w:p>
    <w:p>
      <w:pPr>
        <w:spacing w:after="0" w:line="147" w:lineRule="exact"/>
        <w:rPr>
          <w:sz w:val="20"/>
          <w:szCs w:val="20"/>
          <w:color w:val="auto"/>
        </w:rPr>
      </w:pPr>
    </w:p>
    <w:p>
      <w:pPr>
        <w:ind w:right="120" w:firstLine="1018"/>
        <w:spacing w:after="0" w:line="276" w:lineRule="auto"/>
        <w:rPr>
          <w:sz w:val="20"/>
          <w:szCs w:val="20"/>
          <w:color w:val="auto"/>
        </w:rPr>
      </w:pPr>
      <w:r>
        <w:rPr>
          <w:rFonts w:ascii="Arial" w:cs="Arial" w:eastAsia="Arial" w:hAnsi="Arial"/>
          <w:sz w:val="16"/>
          <w:szCs w:val="16"/>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61" w:lineRule="exact"/>
        <w:rPr>
          <w:sz w:val="20"/>
          <w:szCs w:val="20"/>
          <w:color w:val="auto"/>
        </w:rPr>
      </w:pPr>
    </w:p>
    <w:p>
      <w:pPr>
        <w:ind w:right="60" w:firstLine="1018"/>
        <w:spacing w:after="0" w:line="253" w:lineRule="auto"/>
        <w:rPr>
          <w:sz w:val="20"/>
          <w:szCs w:val="20"/>
          <w:color w:val="auto"/>
        </w:rPr>
      </w:pPr>
      <w:r>
        <w:rPr>
          <w:rFonts w:ascii="Arial" w:cs="Arial" w:eastAsia="Arial" w:hAnsi="Arial"/>
          <w:sz w:val="17"/>
          <w:szCs w:val="17"/>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for inclusion in the current RaniPill capsule and RaniPill HC. Design work, prototyping and pilot manufacturing are performed in-house,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current RaniPill capsule and RaniPill HC. Those assets deemed to have an alternative future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ind w:right="240"/>
        <w:spacing w:after="0" w:line="261" w:lineRule="auto"/>
        <w:rPr>
          <w:sz w:val="20"/>
          <w:szCs w:val="20"/>
          <w:color w:val="auto"/>
        </w:rPr>
      </w:pPr>
      <w:r>
        <w:rPr>
          <w:rFonts w:ascii="Arial" w:cs="Arial" w:eastAsia="Arial" w:hAnsi="Arial"/>
          <w:sz w:val="18"/>
          <w:szCs w:val="18"/>
          <w:color w:val="auto"/>
        </w:rPr>
        <w:t>use have been capitalized as property and equipment while those projects related to our assets determined to not have an alternative future use have been expensed as research and development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Impact</w:t>
      </w:r>
    </w:p>
    <w:p>
      <w:pPr>
        <w:spacing w:after="0" w:line="212" w:lineRule="exact"/>
        <w:rPr>
          <w:sz w:val="20"/>
          <w:szCs w:val="20"/>
          <w:color w:val="auto"/>
        </w:rPr>
      </w:pPr>
    </w:p>
    <w:p>
      <w:pPr>
        <w:ind w:right="80" w:firstLine="1018"/>
        <w:spacing w:after="0" w:line="243" w:lineRule="auto"/>
        <w:rPr>
          <w:sz w:val="20"/>
          <w:szCs w:val="20"/>
          <w:color w:val="auto"/>
        </w:rPr>
      </w:pPr>
      <w:r>
        <w:rPr>
          <w:rFonts w:ascii="Arial" w:cs="Arial" w:eastAsia="Arial" w:hAnsi="Arial"/>
          <w:sz w:val="18"/>
          <w:szCs w:val="18"/>
          <w:color w:val="auto"/>
        </w:rPr>
        <w:t>In March 2020, the World Health Organization declared the COVID-19 outbreak a pandemic. The extent to which the COVID-19 pandemic will further directly or indirectly impact our results of operation and financial condition has been and will continue to be driven by many factors, most of which are beyond our control and ability to forecast. Because of these uncertainties, we cannot estimate how long or to what extent COVID-19 will impact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16" w:lineRule="exact"/>
        <w:rPr>
          <w:sz w:val="20"/>
          <w:szCs w:val="20"/>
          <w:color w:val="auto"/>
        </w:rPr>
      </w:pPr>
    </w:p>
    <w:p>
      <w:pPr>
        <w:ind w:right="140" w:firstLine="1018"/>
        <w:spacing w:after="0" w:line="257" w:lineRule="auto"/>
        <w:rPr>
          <w:sz w:val="20"/>
          <w:szCs w:val="20"/>
          <w:color w:val="auto"/>
        </w:rPr>
      </w:pPr>
      <w:r>
        <w:rPr>
          <w:rFonts w:ascii="Arial" w:cs="Arial" w:eastAsia="Arial" w:hAnsi="Arial"/>
          <w:sz w:val="17"/>
          <w:szCs w:val="17"/>
          <w:color w:val="auto"/>
        </w:rPr>
        <w:t>The Company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and its subsidiary, conducts all of Rani LLC’s business and the financial results of Rani LLC and its consolidated subsidiary are included in the condensed consolidated financial statements of the Company.</w:t>
      </w:r>
    </w:p>
    <w:p>
      <w:pPr>
        <w:spacing w:after="0" w:line="175" w:lineRule="exact"/>
        <w:rPr>
          <w:sz w:val="20"/>
          <w:szCs w:val="20"/>
          <w:color w:val="auto"/>
        </w:rPr>
      </w:pPr>
    </w:p>
    <w:p>
      <w:pPr>
        <w:ind w:firstLine="1018"/>
        <w:spacing w:after="0" w:line="267" w:lineRule="auto"/>
        <w:rPr>
          <w:sz w:val="20"/>
          <w:szCs w:val="20"/>
          <w:color w:val="auto"/>
        </w:rPr>
      </w:pPr>
      <w:r>
        <w:rPr>
          <w:rFonts w:ascii="Arial" w:cs="Arial" w:eastAsia="Arial" w:hAnsi="Arial"/>
          <w:sz w:val="16"/>
          <w:szCs w:val="16"/>
          <w:color w:val="auto"/>
        </w:rPr>
        <w:t>Rani LLC has been, and after the IPO continues to be, treated as a pass-through entity for U.S. federal and state income tax purposes and accordingly has not been subject to U.S. federal or state income tax. The wholly owned subsidiary of Rani LLC, Rani Management Services, Inc. (“RMS”), which was incorporated in 2019, is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12"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to date has been derived from evaluation agreements, which has been recorded as contract revenue. As of March 31, 2022, we had no active evaluation agreements, and therefore we expect that our revenue for the next several years will be derived from any new agreements that may be executed in the future.</w:t>
      </w:r>
    </w:p>
    <w:p>
      <w:pPr>
        <w:spacing w:after="0" w:line="188" w:lineRule="exact"/>
        <w:rPr>
          <w:sz w:val="20"/>
          <w:szCs w:val="20"/>
          <w:color w:val="auto"/>
        </w:rPr>
      </w:pPr>
    </w:p>
    <w:p>
      <w:pPr>
        <w:ind w:right="140" w:firstLine="1018"/>
        <w:spacing w:after="0" w:line="243" w:lineRule="auto"/>
        <w:rPr>
          <w:sz w:val="20"/>
          <w:szCs w:val="20"/>
          <w:color w:val="auto"/>
        </w:rPr>
      </w:pPr>
      <w:r>
        <w:rPr>
          <w:rFonts w:ascii="Arial" w:cs="Arial" w:eastAsia="Arial" w:hAnsi="Arial"/>
          <w:sz w:val="18"/>
          <w:szCs w:val="18"/>
          <w:color w:val="auto"/>
        </w:rPr>
        <w:t>Our ability to generate commercial product revenue and to become profitable will depend upon our ability to successfully develop, obtain regulatory approval for and commercialize the RaniPill capsule and RaniPill HC. Because of the numerous risks and uncertainties associated with product development, regulatory approval and commercialization, we are unable to predict the amount, timing or whether we will be able to generate any commercial product revenue.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operating expenses consisted of research and development and general and administrative activities.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right="140" w:firstLine="1018"/>
        <w:spacing w:after="0" w:line="261"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develop the RaniPill capsule and RaniPill HC. These expenses include:</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External expenses, consisting of:</w:t>
      </w:r>
    </w:p>
    <w:p>
      <w:pPr>
        <w:spacing w:after="0" w:line="104" w:lineRule="exact"/>
        <w:rPr>
          <w:sz w:val="20"/>
          <w:szCs w:val="20"/>
          <w:color w:val="auto"/>
        </w:rPr>
      </w:pPr>
    </w:p>
    <w:p>
      <w:pPr>
        <w:ind w:left="1660" w:hanging="51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contract research organizations ("CROs"), for managing and conducting clinical trials;</w:t>
      </w:r>
    </w:p>
    <w:p>
      <w:pPr>
        <w:spacing w:after="0" w:line="103" w:lineRule="exact"/>
        <w:rPr>
          <w:rFonts w:ascii="Arial" w:cs="Arial" w:eastAsia="Arial" w:hAnsi="Arial"/>
          <w:sz w:val="18"/>
          <w:szCs w:val="18"/>
          <w:color w:val="auto"/>
        </w:rPr>
      </w:pPr>
    </w:p>
    <w:p>
      <w:pPr>
        <w:ind w:left="1660" w:right="60" w:hanging="514"/>
        <w:spacing w:after="0" w:line="261"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RaniPill HC and other materials;</w:t>
      </w:r>
    </w:p>
    <w:p>
      <w:pPr>
        <w:spacing w:after="0" w:line="62" w:lineRule="exact"/>
        <w:rPr>
          <w:rFonts w:ascii="Arial" w:cs="Arial" w:eastAsia="Arial" w:hAnsi="Arial"/>
          <w:sz w:val="18"/>
          <w:szCs w:val="18"/>
          <w:color w:val="auto"/>
        </w:rPr>
      </w:pPr>
    </w:p>
    <w:p>
      <w:pPr>
        <w:ind w:left="1660" w:hanging="51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103" w:lineRule="exact"/>
        <w:rPr>
          <w:rFonts w:ascii="Arial" w:cs="Arial" w:eastAsia="Arial" w:hAnsi="Arial"/>
          <w:sz w:val="18"/>
          <w:szCs w:val="18"/>
          <w:color w:val="auto"/>
        </w:rPr>
      </w:pPr>
    </w:p>
    <w:p>
      <w:pPr>
        <w:ind w:left="1660" w:hanging="51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services.</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Internal expenses, consisting of:</w:t>
      </w:r>
    </w:p>
    <w:p>
      <w:pPr>
        <w:spacing w:after="0" w:line="104" w:lineRule="exact"/>
        <w:rPr>
          <w:sz w:val="20"/>
          <w:szCs w:val="20"/>
          <w:color w:val="auto"/>
        </w:rPr>
      </w:pPr>
    </w:p>
    <w:p>
      <w:pPr>
        <w:ind w:left="1660" w:right="940" w:hanging="514"/>
        <w:spacing w:after="0" w:line="261"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including salaries, bonuses, equity-based compensation and benefits for personnel engaged in the research and development functions;</w:t>
      </w:r>
    </w:p>
    <w:p>
      <w:pPr>
        <w:spacing w:after="0" w:line="62" w:lineRule="exact"/>
        <w:rPr>
          <w:rFonts w:ascii="Arial" w:cs="Arial" w:eastAsia="Arial" w:hAnsi="Arial"/>
          <w:sz w:val="18"/>
          <w:szCs w:val="18"/>
          <w:color w:val="auto"/>
        </w:rPr>
      </w:pPr>
    </w:p>
    <w:p>
      <w:pPr>
        <w:ind w:left="1660" w:right="480" w:hanging="514"/>
        <w:spacing w:after="0" w:line="261"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62" w:lineRule="exact"/>
        <w:rPr>
          <w:rFonts w:ascii="Arial" w:cs="Arial" w:eastAsia="Arial" w:hAnsi="Arial"/>
          <w:sz w:val="18"/>
          <w:szCs w:val="18"/>
          <w:color w:val="auto"/>
        </w:rPr>
      </w:pPr>
    </w:p>
    <w:p>
      <w:pPr>
        <w:ind w:left="1660" w:hanging="514"/>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12" w:lineRule="exact"/>
        <w:rPr>
          <w:sz w:val="20"/>
          <w:szCs w:val="20"/>
          <w:color w:val="auto"/>
        </w:rPr>
      </w:pPr>
    </w:p>
    <w:p>
      <w:pPr>
        <w:ind w:right="40" w:firstLine="1018"/>
        <w:spacing w:after="0" w:line="255"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80" w:lineRule="exact"/>
        <w:rPr>
          <w:sz w:val="20"/>
          <w:szCs w:val="20"/>
          <w:color w:val="auto"/>
        </w:rPr>
      </w:pPr>
    </w:p>
    <w:p>
      <w:pPr>
        <w:ind w:right="80" w:firstLine="1018"/>
        <w:spacing w:after="0" w:line="294" w:lineRule="auto"/>
        <w:rPr>
          <w:sz w:val="20"/>
          <w:szCs w:val="20"/>
          <w:color w:val="auto"/>
        </w:rPr>
      </w:pPr>
      <w:r>
        <w:rPr>
          <w:rFonts w:ascii="Arial" w:cs="Arial" w:eastAsia="Arial" w:hAnsi="Arial"/>
          <w:sz w:val="16"/>
          <w:szCs w:val="16"/>
          <w:color w:val="auto"/>
        </w:rPr>
        <w:t>Costs of property and equipment related to scaling-up our manufacturing capacity for clinical trials and to support commercialization are capitalized as property and equipment unless the related asset does not have an alternative future use. The historical focus of our research and development has been on the RaniPill delivery platform and not tracked costs on a project-by-project basis associated with different drug compounds.</w:t>
      </w:r>
    </w:p>
    <w:p>
      <w:pPr>
        <w:spacing w:after="0" w:line="147" w:lineRule="exact"/>
        <w:rPr>
          <w:sz w:val="20"/>
          <w:szCs w:val="20"/>
          <w:color w:val="auto"/>
        </w:rPr>
      </w:pPr>
    </w:p>
    <w:p>
      <w:pPr>
        <w:ind w:right="20" w:firstLine="1018"/>
        <w:spacing w:after="0" w:line="254"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the RaniPill capsule and RaniPill HC. We expect our research and development expenses to increase significantly in the foreseeable future as we continue to invest in activities related to testing and developing the RaniPill capsule and RaniPill HC, as our product candidates advance into later stages of development, as we begin to conduct larger clinical trials, as we seek regulatory approvals for the RaniPill capsule and RaniPill HC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capsule and RaniPill HC is highly uncertain, and we may never succeed in achieving regulatory approval for the RaniPill capsule and RaniPill HC.</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220" w:firstLine="1018"/>
        <w:spacing w:after="0" w:line="241"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equity-based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right="20" w:firstLine="1018"/>
        <w:spacing w:after="0" w:line="284" w:lineRule="auto"/>
        <w:rPr>
          <w:sz w:val="20"/>
          <w:szCs w:val="20"/>
          <w:color w:val="auto"/>
        </w:rPr>
      </w:pPr>
      <w:r>
        <w:rPr>
          <w:rFonts w:ascii="Arial" w:cs="Arial" w:eastAsia="Arial" w:hAnsi="Arial"/>
          <w:sz w:val="16"/>
          <w:szCs w:val="16"/>
          <w:color w:val="auto"/>
        </w:rPr>
        <w:t>We anticipate that our general and administrative expenses will increase significantly in the foreseeable future as additional administrative personnel and services are required to manage and support the development of the RaniPill capsule and RaniPill HC.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Other income (expense), net primarily consists of interest income earned on our cash and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12"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our consolidated subsidiary that is not allocable to the Company based on its percentage of ownership of Rani LLC.</w:t>
      </w:r>
    </w:p>
    <w:p>
      <w:pPr>
        <w:spacing w:after="0" w:line="171" w:lineRule="exact"/>
        <w:rPr>
          <w:sz w:val="20"/>
          <w:szCs w:val="20"/>
          <w:color w:val="auto"/>
        </w:rPr>
      </w:pPr>
    </w:p>
    <w:p>
      <w:pPr>
        <w:ind w:right="100" w:firstLine="1018"/>
        <w:spacing w:after="0"/>
        <w:rPr>
          <w:sz w:val="20"/>
          <w:szCs w:val="20"/>
          <w:color w:val="auto"/>
        </w:rPr>
      </w:pPr>
      <w:r>
        <w:rPr>
          <w:rFonts w:ascii="Arial" w:cs="Arial" w:eastAsia="Arial" w:hAnsi="Arial"/>
          <w:sz w:val="18"/>
          <w:szCs w:val="18"/>
          <w:color w:val="auto"/>
        </w:rPr>
        <w:t>In August 2021, based on the Organizational Transactions, the Company became the sole managing member of Rani LLC. As of March 31, 2022, the Company held approximately 48% of the Class A Units of Rani LLC, and approximately 52% of the outstanding Class A Units of Rani LLC are held by the Continuing LLC Owners. Therefore, we report NCI based on the Class A Units of Rani LLC held by the Continuing LLC Owners on our condensed consolidated balance sheet as of March 31, 2022. Income or loss attributed to the NCI in Rani LLC is based on the Class A Units outstanding during the period for which the income or loss is generated and is presented on the condensed consolidated statements of operations and comprehensive income or loss.</w:t>
      </w:r>
    </w:p>
    <w:p>
      <w:pPr>
        <w:spacing w:after="0" w:line="189" w:lineRule="exact"/>
        <w:rPr>
          <w:sz w:val="20"/>
          <w:szCs w:val="20"/>
          <w:color w:val="auto"/>
        </w:rPr>
      </w:pPr>
    </w:p>
    <w:p>
      <w:pPr>
        <w:jc w:val="both"/>
        <w:ind w:right="240" w:firstLine="1018"/>
        <w:spacing w:after="0" w:line="262"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March 31, 2022, there were 4,517,105 exchanges of Paired Interests and 158,051 exchanges of non-corresponding Class A Units of Rani LLC for an equal number of shares of our 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340" w:firstLine="1108"/>
        <w:spacing w:after="0" w:line="241" w:lineRule="auto"/>
        <w:rPr>
          <w:sz w:val="20"/>
          <w:szCs w:val="20"/>
          <w:color w:val="auto"/>
        </w:rPr>
      </w:pPr>
      <w:r>
        <w:rPr>
          <w:rFonts w:ascii="Arial" w:cs="Arial" w:eastAsia="Arial" w:hAnsi="Arial"/>
          <w:sz w:val="18"/>
          <w:szCs w:val="18"/>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89"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InCube Labs, LLC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12" w:lineRule="exact"/>
        <w:rPr>
          <w:sz w:val="20"/>
          <w:szCs w:val="20"/>
          <w:color w:val="auto"/>
        </w:rPr>
      </w:pPr>
    </w:p>
    <w:p>
      <w:pPr>
        <w:ind w:firstLine="1018"/>
        <w:spacing w:after="0" w:line="270" w:lineRule="auto"/>
        <w:rPr>
          <w:sz w:val="20"/>
          <w:szCs w:val="20"/>
          <w:color w:val="auto"/>
        </w:rPr>
      </w:pPr>
      <w:r>
        <w:rPr>
          <w:rFonts w:ascii="Arial" w:cs="Arial" w:eastAsia="Arial" w:hAnsi="Arial"/>
          <w:sz w:val="16"/>
          <w:szCs w:val="16"/>
          <w:color w:val="auto"/>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ICL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right="20" w:firstLine="1018"/>
        <w:spacing w:after="0" w:line="274" w:lineRule="auto"/>
        <w:rPr>
          <w:sz w:val="20"/>
          <w:szCs w:val="20"/>
          <w:color w:val="auto"/>
        </w:rPr>
      </w:pPr>
      <w:r>
        <w:rPr>
          <w:rFonts w:ascii="Arial" w:cs="Arial" w:eastAsia="Arial" w:hAnsi="Arial"/>
          <w:sz w:val="16"/>
          <w:szCs w:val="16"/>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The RMS-ICL Service Agreement has a twelve-month term and will automatically renew for successive twelve-month periods unless terminated. RMS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RMS, respectively, as well as allocations of expenses based upon RMS’s utilization of ICL’s facilities and equipment.</w:t>
      </w:r>
    </w:p>
    <w:p>
      <w:pPr>
        <w:spacing w:after="0" w:line="163" w:lineRule="exact"/>
        <w:rPr>
          <w:sz w:val="20"/>
          <w:szCs w:val="20"/>
          <w:color w:val="auto"/>
        </w:rPr>
      </w:pPr>
    </w:p>
    <w:p>
      <w:pPr>
        <w:ind w:right="100" w:firstLine="1018"/>
        <w:spacing w:after="0" w:line="261" w:lineRule="auto"/>
        <w:rPr>
          <w:sz w:val="20"/>
          <w:szCs w:val="20"/>
          <w:color w:val="auto"/>
        </w:rPr>
      </w:pPr>
      <w:r>
        <w:rPr>
          <w:rFonts w:ascii="Arial" w:cs="Arial" w:eastAsia="Arial" w:hAnsi="Arial"/>
          <w:sz w:val="18"/>
          <w:szCs w:val="18"/>
          <w:color w:val="auto"/>
        </w:rPr>
        <w:t>The table below details the amounts charged by ICL for services and rent, net of the amount that RMS charged ICL, which is included in the condensed consolidated statements of operations and comprehensive loss (in thousands):</w:t>
      </w:r>
    </w:p>
    <w:p>
      <w:pPr>
        <w:spacing w:after="0" w:line="162"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w:t>
            </w:r>
          </w:p>
        </w:tc>
        <w:tc>
          <w:tcPr>
            <w:tcW w:w="6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43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-8255</wp:posOffset>
            </wp:positionV>
            <wp:extent cx="34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As of March 31, 2022, our eligible employees were permitted to participate in ICL’s 401(k) Plan (“401(k) Plan”). Participation in the 401(k) Plan was offered for the benefit of our employees, including our named executive officers, who satisfy certain eligibility requirements. Subsequently, in April 2022, the Company established its own 401(k) Plan, with participation offered for the benefit of the employees, including the Company’s named executive officers, who satisfy certain eligibility requirements.</w:t>
      </w:r>
    </w:p>
    <w:p>
      <w:pPr>
        <w:spacing w:after="0" w:line="188" w:lineRule="exact"/>
        <w:rPr>
          <w:sz w:val="20"/>
          <w:szCs w:val="20"/>
          <w:color w:val="auto"/>
        </w:rPr>
      </w:pPr>
    </w:p>
    <w:p>
      <w:pPr>
        <w:ind w:right="140" w:firstLine="1018"/>
        <w:spacing w:after="0" w:line="261" w:lineRule="auto"/>
        <w:rPr>
          <w:sz w:val="20"/>
          <w:szCs w:val="20"/>
          <w:color w:val="auto"/>
        </w:rPr>
      </w:pPr>
      <w:r>
        <w:rPr>
          <w:rFonts w:ascii="Arial" w:cs="Arial" w:eastAsia="Arial" w:hAnsi="Arial"/>
          <w:sz w:val="18"/>
          <w:szCs w:val="18"/>
          <w:color w:val="auto"/>
        </w:rPr>
        <w:t>As of March 31, 2022, all of our facilities are owned or leased by an entity affiliated with our Chairman. Rani LLC pays for the use of these facilities through our services agreements with ICL.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March 2021, an outstanding notes receivable balance totaling $1.7 million, including all accrued interest, was fully repaid by ICL.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12" w:lineRule="exact"/>
        <w:rPr>
          <w:sz w:val="20"/>
          <w:szCs w:val="20"/>
          <w:color w:val="auto"/>
        </w:rPr>
      </w:pPr>
    </w:p>
    <w:p>
      <w:pPr>
        <w:ind w:right="40" w:firstLine="1018"/>
        <w:spacing w:after="0" w:line="252"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12" w:lineRule="exact"/>
        <w:rPr>
          <w:sz w:val="20"/>
          <w:szCs w:val="20"/>
          <w:color w:val="auto"/>
        </w:rPr>
      </w:pPr>
    </w:p>
    <w:p>
      <w:pPr>
        <w:ind w:right="20" w:firstLine="1018"/>
        <w:spacing w:after="0"/>
        <w:rPr>
          <w:sz w:val="20"/>
          <w:szCs w:val="20"/>
          <w:color w:val="auto"/>
        </w:rPr>
      </w:pPr>
      <w:r>
        <w:rPr>
          <w:rFonts w:ascii="Arial" w:cs="Arial" w:eastAsia="Arial" w:hAnsi="Arial"/>
          <w:sz w:val="18"/>
          <w:szCs w:val="18"/>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12"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In June 2021, we entered into the Mir Agreement, pursuant to which we and Mir Imran agreed that we would own all intellectual property conceived (a) using any of our people, equipment, or facilities or (b)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jc w:val="both"/>
        <w:ind w:right="60" w:firstLine="1018"/>
        <w:spacing w:after="0" w:line="294" w:lineRule="auto"/>
        <w:rPr>
          <w:sz w:val="20"/>
          <w:szCs w:val="20"/>
          <w:color w:val="auto"/>
        </w:rPr>
      </w:pPr>
      <w:r>
        <w:rPr>
          <w:rFonts w:ascii="Arial" w:cs="Arial" w:eastAsia="Arial" w:hAnsi="Arial"/>
          <w:sz w:val="16"/>
          <w:szCs w:val="16"/>
          <w:color w:val="auto"/>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three months ended March 31, 2022, entities affiliated with ICL exchanged 2,309,490 Paired Interests that resulted in tax benefits subject to the TRA.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12" w:lineRule="exact"/>
        <w:rPr>
          <w:sz w:val="20"/>
          <w:szCs w:val="20"/>
          <w:color w:val="auto"/>
        </w:rPr>
      </w:pPr>
    </w:p>
    <w:p>
      <w:pPr>
        <w:ind w:right="140" w:firstLine="1018"/>
        <w:spacing w:after="0" w:line="241" w:lineRule="auto"/>
        <w:rPr>
          <w:sz w:val="20"/>
          <w:szCs w:val="20"/>
          <w:color w:val="auto"/>
        </w:rPr>
      </w:pPr>
      <w:r>
        <w:rPr>
          <w:rFonts w:ascii="Arial" w:cs="Arial" w:eastAsia="Arial" w:hAnsi="Arial"/>
          <w:sz w:val="18"/>
          <w:szCs w:val="18"/>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12"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We operate our business through Rani LLC and its subsidiary.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spacing w:after="0" w:line="189" w:lineRule="exact"/>
        <w:rPr>
          <w:sz w:val="20"/>
          <w:szCs w:val="20"/>
          <w:color w:val="auto"/>
        </w:rPr>
      </w:pPr>
    </w:p>
    <w:p>
      <w:pPr>
        <w:ind w:right="80" w:firstLine="1018"/>
        <w:spacing w:after="0" w:line="261" w:lineRule="auto"/>
        <w:rPr>
          <w:sz w:val="20"/>
          <w:szCs w:val="20"/>
          <w:color w:val="auto"/>
        </w:rPr>
      </w:pPr>
      <w:r>
        <w:rPr>
          <w:rFonts w:ascii="Arial" w:cs="Arial" w:eastAsia="Arial" w:hAnsi="Arial"/>
          <w:sz w:val="18"/>
          <w:szCs w:val="18"/>
          <w:color w:val="auto"/>
        </w:rPr>
        <w:t>During the three months ended March 31, 2022, entities affiliated with ICL exchanged 2,309,490 Paired Interests for the Company's Class A common stock.</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right="100" w:firstLine="1018"/>
        <w:spacing w:after="0" w:line="243"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9"/>
              </w:rPr>
              <w:t>Three Months Ended March 31,</w:t>
            </w: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4"/>
                <w:szCs w:val="14"/>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revenue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7,591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3,347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126.8</w:t>
            </w:r>
          </w:p>
        </w:tc>
        <w:tc>
          <w:tcPr>
            <w:tcW w:w="240" w:type="dxa"/>
            <w:vAlign w:val="bottom"/>
            <w:shd w:val="clear" w:color="auto" w:fill="CFF0FC"/>
          </w:tcPr>
          <w:p>
            <w:pPr>
              <w:spacing w:after="0"/>
              <w:rPr>
                <w:sz w:val="17"/>
                <w:szCs w:val="17"/>
                <w:color w:val="auto"/>
              </w:rPr>
            </w:pPr>
          </w:p>
        </w:tc>
      </w:tr>
      <w:tr>
        <w:trPr>
          <w:trHeight w:val="203"/>
        </w:trPr>
        <w:tc>
          <w:tcPr>
            <w:tcW w:w="538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6,189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2,607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137.4</w:t>
            </w:r>
          </w:p>
        </w:tc>
        <w:tc>
          <w:tcPr>
            <w:tcW w:w="240" w:type="dxa"/>
            <w:vAlign w:val="bottom"/>
          </w:tcPr>
          <w:p>
            <w:pPr>
              <w:spacing w:after="0"/>
              <w:rPr>
                <w:sz w:val="17"/>
                <w:szCs w:val="17"/>
                <w:color w:val="auto"/>
              </w:rPr>
            </w:pPr>
          </w:p>
        </w:tc>
      </w:tr>
      <w:tr>
        <w:trPr>
          <w:trHeight w:val="196"/>
        </w:trPr>
        <w:tc>
          <w:tcPr>
            <w:tcW w:w="53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13,780</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5,954</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131.4</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5380" w:type="dxa"/>
            <w:vAlign w:val="bottom"/>
          </w:tcPr>
          <w:p>
            <w:pPr>
              <w:ind w:left="540"/>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(13,780 )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(5,198 )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165.1</w:t>
            </w:r>
          </w:p>
        </w:tc>
        <w:tc>
          <w:tcPr>
            <w:tcW w:w="24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538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(68.1 )</w:t>
            </w:r>
          </w:p>
        </w:tc>
        <w:tc>
          <w:tcPr>
            <w:tcW w:w="240" w:type="dxa"/>
            <w:vAlign w:val="bottom"/>
          </w:tcPr>
          <w:p>
            <w:pPr>
              <w:spacing w:after="0"/>
              <w:rPr>
                <w:sz w:val="17"/>
                <w:szCs w:val="17"/>
                <w:color w:val="auto"/>
              </w:rPr>
            </w:pPr>
          </w:p>
        </w:tc>
      </w:tr>
      <w:tr>
        <w:trPr>
          <w:trHeight w:val="203"/>
        </w:trPr>
        <w:tc>
          <w:tcPr>
            <w:tcW w:w="5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 and other, net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(188 )</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r>
      <w:tr>
        <w:trPr>
          <w:trHeight w:val="203"/>
        </w:trPr>
        <w:tc>
          <w:tcPr>
            <w:tcW w:w="5380" w:type="dxa"/>
            <w:vAlign w:val="bottom"/>
          </w:tcPr>
          <w:p>
            <w:pPr>
              <w:ind w:left="180"/>
              <w:spacing w:after="0" w:line="202" w:lineRule="exact"/>
              <w:rPr>
                <w:sz w:val="20"/>
                <w:szCs w:val="20"/>
                <w:color w:val="auto"/>
              </w:rPr>
            </w:pPr>
            <w:r>
              <w:rPr>
                <w:rFonts w:ascii="Arial" w:cs="Arial" w:eastAsia="Arial" w:hAnsi="Arial"/>
                <w:sz w:val="18"/>
                <w:szCs w:val="18"/>
                <w:color w:val="auto"/>
              </w:rPr>
              <w:t>Change in estimated fair value of preferred unit warrant</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196"/>
        </w:trPr>
        <w:tc>
          <w:tcPr>
            <w:tcW w:w="538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(13,765 )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(5,555 )</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147.8</w:t>
            </w:r>
          </w:p>
        </w:tc>
        <w:tc>
          <w:tcPr>
            <w:tcW w:w="240" w:type="dxa"/>
            <w:vAlign w:val="bottom"/>
            <w:shd w:val="clear" w:color="auto" w:fill="CFF0FC"/>
          </w:tcPr>
          <w:p>
            <w:pPr>
              <w:spacing w:after="0"/>
              <w:rPr>
                <w:sz w:val="17"/>
                <w:szCs w:val="17"/>
                <w:color w:val="auto"/>
              </w:rPr>
            </w:pPr>
          </w:p>
        </w:tc>
      </w:tr>
      <w:tr>
        <w:trPr>
          <w:trHeight w:val="203"/>
        </w:trPr>
        <w:tc>
          <w:tcPr>
            <w:tcW w:w="538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(63 )</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46.5</w:t>
            </w:r>
          </w:p>
        </w:tc>
        <w:tc>
          <w:tcPr>
            <w:tcW w:w="240" w:type="dxa"/>
            <w:vAlign w:val="bottom"/>
          </w:tcPr>
          <w:p>
            <w:pPr>
              <w:spacing w:after="0"/>
              <w:rPr>
                <w:sz w:val="17"/>
                <w:szCs w:val="17"/>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(13,828 )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(5,598 )</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147.0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(7,605 )</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(5,598 )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35.9</w:t>
            </w:r>
          </w:p>
        </w:tc>
        <w:tc>
          <w:tcPr>
            <w:tcW w:w="240" w:type="dxa"/>
            <w:vAlign w:val="bottom"/>
            <w:tcBorders>
              <w:bottom w:val="single" w:sz="8" w:color="auto"/>
            </w:tcBorders>
          </w:tcPr>
          <w:p>
            <w:pPr>
              <w:spacing w:after="0"/>
              <w:rPr>
                <w:sz w:val="17"/>
                <w:szCs w:val="17"/>
                <w:color w:val="auto"/>
              </w:rPr>
            </w:pPr>
          </w:p>
        </w:tc>
      </w:tr>
      <w:tr>
        <w:trPr>
          <w:trHeight w:val="236"/>
        </w:trPr>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attributable to Rani Therapeutics Holdings, Inc.</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(6,223 )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-1342390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-1342390</wp:posOffset>
            </wp:positionV>
            <wp:extent cx="603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No comparable result in the period</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12" w:lineRule="exact"/>
        <w:rPr>
          <w:sz w:val="20"/>
          <w:szCs w:val="20"/>
          <w:color w:val="auto"/>
        </w:rPr>
      </w:pPr>
    </w:p>
    <w:p>
      <w:pPr>
        <w:ind w:right="260" w:firstLine="1018"/>
        <w:spacing w:after="0" w:line="261" w:lineRule="auto"/>
        <w:rPr>
          <w:sz w:val="20"/>
          <w:szCs w:val="20"/>
          <w:color w:val="auto"/>
        </w:rPr>
      </w:pPr>
      <w:r>
        <w:rPr>
          <w:rFonts w:ascii="Arial" w:cs="Arial" w:eastAsia="Arial" w:hAnsi="Arial"/>
          <w:sz w:val="18"/>
          <w:szCs w:val="18"/>
          <w:color w:val="auto"/>
        </w:rPr>
        <w:t>For the three months ended March 31, 2022, no contract revenue related to the Takeda agreement was recognized. For three months ended March 31, 2021, the Company recognized contract revenue related to the Takeda agreement of $0.8 million.</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03"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64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6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equity-based compensation and related benefits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5,423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2,195</w:t>
            </w:r>
          </w:p>
        </w:tc>
        <w:tc>
          <w:tcPr>
            <w:tcW w:w="60" w:type="dxa"/>
            <w:vAlign w:val="bottom"/>
            <w:shd w:val="clear" w:color="auto" w:fill="CFF0FC"/>
          </w:tcPr>
          <w:p>
            <w:pPr>
              <w:spacing w:after="0"/>
              <w:rPr>
                <w:sz w:val="17"/>
                <w:szCs w:val="17"/>
                <w:color w:val="auto"/>
              </w:rPr>
            </w:pP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Third-party services</w:t>
            </w: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1,060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60" w:type="dxa"/>
            <w:vAlign w:val="bottom"/>
          </w:tcPr>
          <w:p>
            <w:pPr>
              <w:spacing w:after="0"/>
              <w:rPr>
                <w:sz w:val="17"/>
                <w:szCs w:val="17"/>
                <w:color w:val="auto"/>
              </w:rPr>
            </w:pPr>
          </w:p>
        </w:tc>
      </w:tr>
      <w:tr>
        <w:trPr>
          <w:trHeight w:val="203"/>
        </w:trPr>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Facilities, materials and supplies</w:t>
            </w: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683</w:t>
            </w:r>
          </w:p>
        </w:tc>
        <w:tc>
          <w:tcPr>
            <w:tcW w:w="60" w:type="dxa"/>
            <w:vAlign w:val="bottom"/>
            <w:shd w:val="clear" w:color="auto" w:fill="CFF0FC"/>
          </w:tcPr>
          <w:p>
            <w:pPr>
              <w:spacing w:after="0"/>
              <w:rPr>
                <w:sz w:val="17"/>
                <w:szCs w:val="17"/>
                <w:color w:val="auto"/>
              </w:rPr>
            </w:pPr>
          </w:p>
        </w:tc>
      </w:tr>
      <w:tr>
        <w:trPr>
          <w:trHeight w:val="202"/>
        </w:trPr>
        <w:tc>
          <w:tcPr>
            <w:tcW w:w="64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w:t>
            </w:r>
          </w:p>
        </w:tc>
        <w:tc>
          <w:tcPr>
            <w:tcW w:w="60" w:type="dxa"/>
            <w:vAlign w:val="bottom"/>
          </w:tcPr>
          <w:p>
            <w:pPr>
              <w:spacing w:after="0"/>
              <w:rPr>
                <w:sz w:val="17"/>
                <w:szCs w:val="17"/>
                <w:color w:val="auto"/>
              </w:rPr>
            </w:pPr>
          </w:p>
        </w:tc>
      </w:tr>
      <w:tr>
        <w:trPr>
          <w:trHeight w:val="236"/>
        </w:trPr>
        <w:tc>
          <w:tcPr>
            <w:tcW w:w="64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7,591</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3,347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Research and development expenses were $7.6 million for the three months ended March 31, 2022, compared to $3.3 million for the three months ended March 31, 2021. The change in research and development expense was attributed to an increase of $3.2 million in salaries and related benefit costs due to higher headcount, which includes $1.2 million of equity-based compensation, an increase in third-party services of $0.9 million and laboratory supplies of $0.3 million.</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260" w:firstLine="1018"/>
        <w:spacing w:after="0" w:line="261" w:lineRule="auto"/>
        <w:rPr>
          <w:sz w:val="20"/>
          <w:szCs w:val="20"/>
          <w:color w:val="auto"/>
        </w:rPr>
      </w:pPr>
      <w:r>
        <w:rPr>
          <w:rFonts w:ascii="Arial" w:cs="Arial" w:eastAsia="Arial" w:hAnsi="Arial"/>
          <w:sz w:val="18"/>
          <w:szCs w:val="18"/>
          <w:color w:val="auto"/>
        </w:rPr>
        <w:t>General and administrative expenses were $6.2 million for the three months ended March 31, 2022, compared to $2.6 million for the three months ended March 31, 2021. During the three months ended March 31, 2022, the change in general and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ind w:right="80"/>
        <w:spacing w:after="0" w:line="248" w:lineRule="auto"/>
        <w:rPr>
          <w:sz w:val="20"/>
          <w:szCs w:val="20"/>
          <w:color w:val="auto"/>
        </w:rPr>
      </w:pPr>
      <w:r>
        <w:rPr>
          <w:rFonts w:ascii="Arial" w:cs="Arial" w:eastAsia="Arial" w:hAnsi="Arial"/>
          <w:sz w:val="18"/>
          <w:szCs w:val="18"/>
          <w:color w:val="auto"/>
        </w:rPr>
        <w:t>administrative expenses was attributed to an increase of $2.2 million in salaries and related benefit costs due to higher headcount, which includes $1.7 million of equity-based compensation. Additionally, facility costs increased $0.7 million attributable to insurance, and professional and consulting services expense increased by $0.4 million.</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jc w:val="both"/>
        <w:ind w:right="280" w:firstLine="1018"/>
        <w:spacing w:after="0" w:line="248" w:lineRule="auto"/>
        <w:rPr>
          <w:sz w:val="20"/>
          <w:szCs w:val="20"/>
          <w:color w:val="auto"/>
        </w:rPr>
      </w:pPr>
      <w:r>
        <w:rPr>
          <w:rFonts w:ascii="Arial" w:cs="Arial" w:eastAsia="Arial" w:hAnsi="Arial"/>
          <w:sz w:val="18"/>
          <w:szCs w:val="18"/>
          <w:color w:val="auto"/>
        </w:rPr>
        <w:t>Other expense, net, was immaterial for the three months ended March 31, 2022. Other expense, net, was $0.4 million for the three months ended March 31, 2021, which was primarily due to $0.2 million in interest expense on the debt and $0.2 million due to the increase in the estimated fair value of the Series E preferred unit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12" w:lineRule="exact"/>
        <w:rPr>
          <w:sz w:val="20"/>
          <w:szCs w:val="20"/>
          <w:color w:val="auto"/>
        </w:rPr>
      </w:pPr>
    </w:p>
    <w:p>
      <w:pPr>
        <w:ind w:right="20" w:firstLine="1018"/>
        <w:spacing w:after="0" w:line="253" w:lineRule="auto"/>
        <w:rPr>
          <w:sz w:val="20"/>
          <w:szCs w:val="20"/>
          <w:color w:val="auto"/>
        </w:rPr>
      </w:pPr>
      <w:r>
        <w:rPr>
          <w:rFonts w:ascii="Arial" w:cs="Arial" w:eastAsia="Arial" w:hAnsi="Arial"/>
          <w:sz w:val="17"/>
          <w:szCs w:val="17"/>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and the issuance of convertible promissory notes, with aggregate gross proceeds of $282.4 million, as well as contract revenue generated from evaluation agreements. In August 2021, we raised net proceeds of $73.6 million from the IPO. As of March 31, 2022, we had cash and cash equivalents of $107.8 million.</w:t>
      </w:r>
    </w:p>
    <w:p>
      <w:pPr>
        <w:spacing w:after="0" w:line="184" w:lineRule="exact"/>
        <w:rPr>
          <w:sz w:val="20"/>
          <w:szCs w:val="20"/>
          <w:color w:val="auto"/>
        </w:rPr>
      </w:pPr>
    </w:p>
    <w:p>
      <w:pPr>
        <w:ind w:right="60" w:firstLine="1018"/>
        <w:spacing w:after="0" w:line="271" w:lineRule="auto"/>
        <w:rPr>
          <w:sz w:val="20"/>
          <w:szCs w:val="20"/>
          <w:color w:val="auto"/>
        </w:rPr>
      </w:pPr>
      <w:r>
        <w:rPr>
          <w:rFonts w:ascii="Arial" w:cs="Arial" w:eastAsia="Arial" w:hAnsi="Arial"/>
          <w:sz w:val="16"/>
          <w:szCs w:val="16"/>
          <w:color w:val="auto"/>
        </w:rPr>
        <w:t>Since our inception, we have incurred significant losses and negative cash flows from operations. Our net losses were $13.8 million and $5.6 million for the three months ended March 31, 2022 and 2021, respectively. As of March 31, 2022, we had an accumulated deficit of $14.6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20" w:firstLine="1018"/>
        <w:spacing w:after="0" w:line="272" w:lineRule="auto"/>
        <w:rPr>
          <w:sz w:val="20"/>
          <w:szCs w:val="20"/>
          <w:color w:val="auto"/>
        </w:rPr>
      </w:pPr>
      <w:r>
        <w:rPr>
          <w:rFonts w:ascii="Arial" w:cs="Arial" w:eastAsia="Arial" w:hAnsi="Arial"/>
          <w:sz w:val="16"/>
          <w:szCs w:val="16"/>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p>
    <w:p>
      <w:pPr>
        <w:spacing w:after="0" w:line="168" w:lineRule="exact"/>
        <w:rPr>
          <w:sz w:val="20"/>
          <w:szCs w:val="20"/>
          <w:color w:val="auto"/>
        </w:rPr>
      </w:pPr>
    </w:p>
    <w:p>
      <w:pPr>
        <w:ind w:right="220" w:firstLine="1018"/>
        <w:spacing w:after="0" w:line="243" w:lineRule="auto"/>
        <w:rPr>
          <w:sz w:val="20"/>
          <w:szCs w:val="20"/>
          <w:color w:val="auto"/>
        </w:rPr>
      </w:pPr>
      <w:r>
        <w:rPr>
          <w:rFonts w:ascii="Arial" w:cs="Arial" w:eastAsia="Arial" w:hAnsi="Arial"/>
          <w:sz w:val="18"/>
          <w:szCs w:val="18"/>
          <w:color w:val="auto"/>
        </w:rPr>
        <w:t>As of March 31, 2022,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$19.9 million at March 31, 2022.</w:t>
      </w:r>
    </w:p>
    <w:p>
      <w:pPr>
        <w:spacing w:after="0" w:line="188" w:lineRule="exact"/>
        <w:rPr>
          <w:sz w:val="20"/>
          <w:szCs w:val="20"/>
          <w:color w:val="auto"/>
        </w:rPr>
      </w:pPr>
    </w:p>
    <w:p>
      <w:pPr>
        <w:ind w:right="520" w:firstLine="1018"/>
        <w:spacing w:after="0" w:line="261" w:lineRule="auto"/>
        <w:rPr>
          <w:sz w:val="20"/>
          <w:szCs w:val="20"/>
          <w:color w:val="auto"/>
        </w:rPr>
      </w:pPr>
      <w:r>
        <w:rPr>
          <w:rFonts w:ascii="Arial" w:cs="Arial" w:eastAsia="Arial" w:hAnsi="Arial"/>
          <w:sz w:val="18"/>
          <w:szCs w:val="18"/>
          <w:color w:val="auto"/>
        </w:rPr>
        <w:t>The amounts payable under the TRA will vary depending upon a number of factors, including the amount, character, and timing of the taxable income of the Company in the future. Should the Company determine that the payment of the TRA liability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right="680"/>
        <w:spacing w:after="0" w:line="261" w:lineRule="auto"/>
        <w:rPr>
          <w:sz w:val="20"/>
          <w:szCs w:val="20"/>
          <w:color w:val="auto"/>
        </w:rPr>
      </w:pPr>
      <w:r>
        <w:rPr>
          <w:rFonts w:ascii="Arial" w:cs="Arial" w:eastAsia="Arial" w:hAnsi="Arial"/>
          <w:sz w:val="18"/>
          <w:szCs w:val="18"/>
          <w:color w:val="auto"/>
        </w:rPr>
        <w:t>becomes probable at a future date based on new information, any changes will be recorded on the Company's condensed consolidated statement of operations and comprehensive loss at that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12" w:lineRule="exact"/>
        <w:rPr>
          <w:sz w:val="20"/>
          <w:szCs w:val="20"/>
          <w:color w:val="auto"/>
        </w:rPr>
      </w:pPr>
    </w:p>
    <w:p>
      <w:pPr>
        <w:ind w:firstLine="1018"/>
        <w:spacing w:after="0" w:line="276" w:lineRule="auto"/>
        <w:rPr>
          <w:sz w:val="20"/>
          <w:szCs w:val="20"/>
          <w:color w:val="auto"/>
        </w:rPr>
      </w:pPr>
      <w:r>
        <w:rPr>
          <w:rFonts w:ascii="Arial" w:cs="Arial" w:eastAsia="Arial" w:hAnsi="Arial"/>
          <w:sz w:val="16"/>
          <w:szCs w:val="16"/>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RaniPill HC and because the extent to which we may enter into strategic collaborations or other arrangements with third parties for development of the RaniPill capsule and RaniPill HC is unknown, we are unable to estimate the timing and amounts of increased capital outlays and operating expenses associated with completing the research and development of our product candidates.</w:t>
      </w:r>
    </w:p>
    <w:p>
      <w:pPr>
        <w:spacing w:after="0" w:line="162" w:lineRule="exact"/>
        <w:rPr>
          <w:sz w:val="20"/>
          <w:szCs w:val="20"/>
          <w:color w:val="auto"/>
        </w:rPr>
      </w:pPr>
    </w:p>
    <w:p>
      <w:pPr>
        <w:ind w:firstLine="1018"/>
        <w:spacing w:after="0" w:line="276"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and RaniPill HC. In addition, we expect to incur additional costs operating as a public company.</w:t>
      </w:r>
    </w:p>
    <w:p>
      <w:pPr>
        <w:spacing w:after="0" w:line="162" w:lineRule="exact"/>
        <w:rPr>
          <w:sz w:val="20"/>
          <w:szCs w:val="20"/>
          <w:color w:val="auto"/>
        </w:rPr>
      </w:pPr>
    </w:p>
    <w:p>
      <w:pPr>
        <w:ind w:right="100" w:firstLine="1018"/>
        <w:spacing w:after="0" w:line="262" w:lineRule="auto"/>
        <w:rPr>
          <w:sz w:val="20"/>
          <w:szCs w:val="20"/>
          <w:color w:val="auto"/>
        </w:rPr>
      </w:pPr>
      <w:r>
        <w:rPr>
          <w:rFonts w:ascii="Arial" w:cs="Arial" w:eastAsia="Arial" w:hAnsi="Arial"/>
          <w:sz w:val="17"/>
          <w:szCs w:val="17"/>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64" w:lineRule="exact"/>
        <w:rPr>
          <w:sz w:val="20"/>
          <w:szCs w:val="20"/>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103" w:lineRule="exact"/>
        <w:rPr>
          <w:rFonts w:ascii="Arial" w:cs="Arial" w:eastAsia="Arial" w:hAnsi="Arial"/>
          <w:sz w:val="18"/>
          <w:szCs w:val="18"/>
          <w:color w:val="auto"/>
        </w:rPr>
      </w:pPr>
    </w:p>
    <w:p>
      <w:pPr>
        <w:ind w:left="1540" w:right="40" w:hanging="514"/>
        <w:spacing w:after="0" w:line="248"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the RaniPill capsule and RaniPill HC for various indications;</w:t>
      </w:r>
    </w:p>
    <w:p>
      <w:pPr>
        <w:spacing w:after="0" w:line="7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03" w:lineRule="exact"/>
        <w:rPr>
          <w:rFonts w:ascii="Arial" w:cs="Arial" w:eastAsia="Arial" w:hAnsi="Arial"/>
          <w:sz w:val="18"/>
          <w:szCs w:val="18"/>
          <w:color w:val="auto"/>
        </w:rPr>
      </w:pPr>
    </w:p>
    <w:p>
      <w:pPr>
        <w:ind w:left="1540" w:right="80" w:hanging="514"/>
        <w:spacing w:after="0" w:line="261"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03" w:lineRule="exact"/>
        <w:rPr>
          <w:rFonts w:ascii="Arial" w:cs="Arial" w:eastAsia="Arial" w:hAnsi="Arial"/>
          <w:sz w:val="18"/>
          <w:szCs w:val="18"/>
          <w:color w:val="auto"/>
        </w:rPr>
      </w:pPr>
    </w:p>
    <w:p>
      <w:pPr>
        <w:ind w:left="1540" w:right="300" w:hanging="514"/>
        <w:spacing w:after="0" w:line="248"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1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left="1540" w:right="80" w:hanging="514"/>
        <w:spacing w:after="0" w:line="261"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540" w:right="140" w:hanging="514"/>
        <w:spacing w:after="0" w:line="261"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1" w:lineRule="exact"/>
        <w:rPr>
          <w:sz w:val="20"/>
          <w:szCs w:val="20"/>
          <w:color w:val="auto"/>
        </w:rPr>
      </w:pPr>
    </w:p>
    <w:p>
      <w:pPr>
        <w:ind w:right="80" w:firstLine="1018"/>
        <w:spacing w:after="0" w:line="238"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(9,360</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(4,048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7"/>
                <w:szCs w:val="17"/>
                <w:color w:val="auto"/>
              </w:rPr>
            </w:pPr>
          </w:p>
        </w:tc>
        <w:tc>
          <w:tcPr>
            <w:tcW w:w="7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(254 )</w:t>
            </w:r>
          </w:p>
        </w:tc>
        <w:tc>
          <w:tcPr>
            <w:tcW w:w="8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(99 )</w:t>
            </w:r>
          </w:p>
        </w:tc>
      </w:tr>
      <w:tr>
        <w:trPr>
          <w:trHeight w:val="203"/>
        </w:trPr>
        <w:tc>
          <w:tcPr>
            <w:tcW w:w="63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w w:val="93"/>
              </w:rPr>
              <w:t>(9,614 )</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3,604</w:t>
            </w:r>
          </w:p>
        </w:tc>
        <w:tc>
          <w:tcPr>
            <w:tcW w:w="1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-159385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ind w:right="140" w:firstLine="1018"/>
        <w:spacing w:after="0" w:line="243" w:lineRule="auto"/>
        <w:rPr>
          <w:sz w:val="20"/>
          <w:szCs w:val="20"/>
          <w:color w:val="auto"/>
        </w:rPr>
      </w:pPr>
      <w:r>
        <w:rPr>
          <w:rFonts w:ascii="Arial" w:cs="Arial" w:eastAsia="Arial" w:hAnsi="Arial"/>
          <w:sz w:val="18"/>
          <w:szCs w:val="18"/>
          <w:color w:val="auto"/>
        </w:rPr>
        <w:t>Net cash used in operating activities for the three months ended March 31, 2022 was $9.4 million, which was primarily attributable to a net loss of $13.8 million, partially offset by the equity-based compensation expense of $2.9 million. Additionally there was a decrease of $0.7 million in prepaid expenses and other assets due to amortization of director and officer liability insurance, as a result of becoming a publicly traded company, and an increase in accrued expenses of $0.6 million.</w:t>
      </w:r>
    </w:p>
    <w:p>
      <w:pPr>
        <w:spacing w:after="0" w:line="188" w:lineRule="exact"/>
        <w:rPr>
          <w:sz w:val="20"/>
          <w:szCs w:val="20"/>
          <w:color w:val="auto"/>
        </w:rPr>
      </w:pPr>
    </w:p>
    <w:p>
      <w:pPr>
        <w:jc w:val="both"/>
        <w:ind w:right="100" w:firstLine="1018"/>
        <w:spacing w:after="0" w:line="243" w:lineRule="auto"/>
        <w:rPr>
          <w:sz w:val="20"/>
          <w:szCs w:val="20"/>
          <w:color w:val="auto"/>
        </w:rPr>
      </w:pPr>
      <w:r>
        <w:rPr>
          <w:rFonts w:ascii="Arial" w:cs="Arial" w:eastAsia="Arial" w:hAnsi="Arial"/>
          <w:sz w:val="18"/>
          <w:szCs w:val="18"/>
          <w:color w:val="auto"/>
        </w:rPr>
        <w:t>Net cash used in operating activities for the three months ended March 31, 2021 was $4.0 million, which was primarily attributable to a net loss of $5.6 million, non-cash depreciation and amortization of $0.1 million, change in the fair value of preferred unit warrant liability of $0.2 million, and equity-based compensation expense from a secondary sales transaction of $0.5 million, partially offset by an increase in operating assets and liabilities of $0.7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2"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For the three months ended March 31, 2022 and 2021, net cash used in investing activities was $0.3 million and $0.1 million, respectively, consisting solely of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three months ended March 31, 2022, there were no financing activities.</w:t>
      </w:r>
    </w:p>
    <w:p>
      <w:pPr>
        <w:spacing w:after="0" w:line="212" w:lineRule="exact"/>
        <w:rPr>
          <w:sz w:val="20"/>
          <w:szCs w:val="20"/>
          <w:color w:val="auto"/>
        </w:rPr>
      </w:pPr>
    </w:p>
    <w:p>
      <w:pPr>
        <w:ind w:right="20" w:firstLine="1018"/>
        <w:spacing w:after="0" w:line="248" w:lineRule="auto"/>
        <w:rPr>
          <w:sz w:val="20"/>
          <w:szCs w:val="20"/>
          <w:color w:val="auto"/>
        </w:rPr>
      </w:pPr>
      <w:r>
        <w:rPr>
          <w:rFonts w:ascii="Arial" w:cs="Arial" w:eastAsia="Arial" w:hAnsi="Arial"/>
          <w:sz w:val="18"/>
          <w:szCs w:val="18"/>
          <w:color w:val="auto"/>
        </w:rPr>
        <w:t>For the three months ended March 31, 2021, cash provided by financing activities was approximately $7.8 million, consisting of the proceeds from the sale and issuance of our Series E Preferred Units for net proceeds of $6.3 million, and $1.7 million of principal payments received from our related party note receivable, partially offset by deferred offering costs of $0.3 million.</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12" w:lineRule="exact"/>
        <w:rPr>
          <w:sz w:val="20"/>
          <w:szCs w:val="20"/>
          <w:color w:val="auto"/>
        </w:rPr>
      </w:pPr>
    </w:p>
    <w:p>
      <w:pPr>
        <w:jc w:val="both"/>
        <w:ind w:right="240" w:firstLine="1018"/>
        <w:spacing w:after="0" w:line="248" w:lineRule="auto"/>
        <w:rPr>
          <w:sz w:val="20"/>
          <w:szCs w:val="20"/>
          <w:color w:val="auto"/>
        </w:rPr>
      </w:pPr>
      <w:r>
        <w:rPr>
          <w:rFonts w:ascii="Arial" w:cs="Arial" w:eastAsia="Arial" w:hAnsi="Arial"/>
          <w:sz w:val="18"/>
          <w:szCs w:val="18"/>
          <w:color w:val="auto"/>
        </w:rPr>
        <w:t>Rani LLC pays for the use of our facilities through the Rani LLC-ICL Service Agreement and RMS-ICL Service Agreement. As of March 31, 2022, the future aggregate minimum lease payments associated with our service agreements with ICL for fiscal years 2022 (remaining nine months) and 2023 totaled $0.9 million and $0.8 million, respectively.</w:t>
      </w:r>
    </w:p>
    <w:p>
      <w:pPr>
        <w:spacing w:after="0" w:line="182" w:lineRule="exact"/>
        <w:rPr>
          <w:sz w:val="20"/>
          <w:szCs w:val="20"/>
          <w:color w:val="auto"/>
        </w:rPr>
      </w:pPr>
    </w:p>
    <w:p>
      <w:pPr>
        <w:ind w:firstLine="1018"/>
        <w:spacing w:after="0" w:line="291" w:lineRule="auto"/>
        <w:rPr>
          <w:sz w:val="20"/>
          <w:szCs w:val="20"/>
          <w:color w:val="auto"/>
        </w:rPr>
      </w:pPr>
      <w:r>
        <w:rPr>
          <w:rFonts w:ascii="Arial" w:cs="Arial" w:eastAsia="Arial" w:hAnsi="Arial"/>
          <w:sz w:val="17"/>
          <w:szCs w:val="17"/>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280" w:firstLine="1018"/>
        <w:spacing w:after="0" w:line="274" w:lineRule="auto"/>
        <w:rPr>
          <w:sz w:val="20"/>
          <w:szCs w:val="20"/>
          <w:color w:val="auto"/>
        </w:rPr>
      </w:pPr>
      <w:r>
        <w:rPr>
          <w:rFonts w:ascii="Arial" w:cs="Arial" w:eastAsia="Arial" w:hAnsi="Arial"/>
          <w:sz w:val="16"/>
          <w:szCs w:val="16"/>
          <w:color w:val="auto"/>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3" w:lineRule="exact"/>
        <w:rPr>
          <w:sz w:val="20"/>
          <w:szCs w:val="20"/>
          <w:color w:val="auto"/>
        </w:rPr>
      </w:pPr>
    </w:p>
    <w:p>
      <w:pPr>
        <w:ind w:right="300" w:firstLine="1018"/>
        <w:spacing w:after="0" w:line="261" w:lineRule="auto"/>
        <w:rPr>
          <w:sz w:val="20"/>
          <w:szCs w:val="20"/>
          <w:color w:val="auto"/>
        </w:rPr>
      </w:pPr>
      <w:r>
        <w:rPr>
          <w:rFonts w:ascii="Arial" w:cs="Arial" w:eastAsia="Arial" w:hAnsi="Arial"/>
          <w:sz w:val="18"/>
          <w:szCs w:val="18"/>
          <w:color w:val="auto"/>
        </w:rPr>
        <w:t>For further information on our significant accounting policies, refer to our Annual Report on Form 10-K for the year ended December 31, 2021, filed with the SEC on March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ind w:right="60" w:firstLine="1018"/>
        <w:spacing w:after="0" w:line="324" w:lineRule="auto"/>
        <w:rPr>
          <w:sz w:val="20"/>
          <w:szCs w:val="20"/>
          <w:color w:val="auto"/>
        </w:rPr>
      </w:pPr>
      <w:r>
        <w:rPr>
          <w:rFonts w:ascii="Arial" w:cs="Arial" w:eastAsia="Arial" w:hAnsi="Arial"/>
          <w:sz w:val="16"/>
          <w:szCs w:val="16"/>
          <w:color w:val="auto"/>
        </w:rPr>
        <w:t>For a description of the expected impact of recent accounting pronouncements, see “Note 2. Summary of Significant Accounting Policies” in the “Notes to the Unaudited Condensed Consolidated Financial Statements” contained in Part I, Item 1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Accounting Election</w:t>
      </w:r>
    </w:p>
    <w:p>
      <w:pPr>
        <w:spacing w:after="0" w:line="212" w:lineRule="exact"/>
        <w:rPr>
          <w:sz w:val="20"/>
          <w:szCs w:val="20"/>
          <w:color w:val="auto"/>
        </w:rPr>
      </w:pPr>
    </w:p>
    <w:p>
      <w:pPr>
        <w:ind w:right="20" w:firstLine="1018"/>
        <w:spacing w:after="0" w:line="255" w:lineRule="auto"/>
        <w:rPr>
          <w:sz w:val="20"/>
          <w:szCs w:val="20"/>
          <w:color w:val="auto"/>
        </w:rPr>
      </w:pPr>
      <w:r>
        <w:rPr>
          <w:rFonts w:ascii="Arial" w:cs="Arial" w:eastAsia="Arial" w:hAnsi="Arial"/>
          <w:sz w:val="17"/>
          <w:szCs w:val="17"/>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will remain an emerging growth company until the earliest of (1) December 31, 2026 (the last day of the fiscal year following the fifth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the closing of our initial public offering), (2) the last day of the fiscal year in which we have total annual gross revenue of at least $1.07</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billion, (3) the last day of the fiscal year in which we are deemed to be a “large accelerated filer” as defined in Rule 12b-2 under the Securities Exchange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Act of 1934, as amended (the “Exchange Act”), which would occur if the market value of our Class A common stock held by non-affiliates exceeded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 $1.0 billion in non-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securities during the prior three-year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ind w:right="80" w:firstLine="1018"/>
        <w:spacing w:after="0" w:line="27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March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jc w:val="both"/>
        <w:ind w:right="220" w:firstLine="1018"/>
        <w:spacing w:after="0" w:line="248"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months ended March 31, 2022 that have materially affected, or are reasonably likely to materially affect, our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16" w:lineRule="exact"/>
        <w:rPr>
          <w:sz w:val="20"/>
          <w:szCs w:val="20"/>
          <w:color w:val="auto"/>
        </w:rPr>
      </w:pPr>
    </w:p>
    <w:p>
      <w:pPr>
        <w:ind w:right="20" w:firstLine="1018"/>
        <w:spacing w:after="0" w:line="269"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60" w:firstLine="1018"/>
        <w:spacing w:after="0" w:line="270"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There have been no material changes to the risk factors disclosed under the heading “Risk Factors” in our most recent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24"/>
          </w:tcPr>
          <w:p>
            <w:pPr>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315"/>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20" w:type="dxa"/>
            <w:vAlign w:val="bottom"/>
            <w:gridSpan w:val="19"/>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line="15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2"/>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Amended and Restated Certificate of Incorporation of the Registrant as currently in effect (incorporated by reference to Exhibit 3.1 to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Registrant’s Registration Statement on Form S-1, as amended, filed with the SEC on July 26, 2021).</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7200" w:type="dxa"/>
            <w:vAlign w:val="bottom"/>
            <w:tcBorders>
              <w:top w:val="single" w:sz="8" w:color="0000FF"/>
            </w:tcBorders>
            <w:gridSpan w:val="9"/>
          </w:tcPr>
          <w:p>
            <w:pPr>
              <w:spacing w:after="0" w:line="169"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Amended and Restated Bylaws of the Registrant as currently in effect (incorporated by reference to</w:t>
              </w:r>
            </w:hyperlink>
          </w:p>
        </w:tc>
        <w:tc>
          <w:tcPr>
            <w:tcW w:w="20" w:type="dxa"/>
            <w:vAlign w:val="bottom"/>
            <w:tcBorders>
              <w:top w:val="single" w:sz="8" w:color="0000EE"/>
            </w:tcBorders>
          </w:tcPr>
          <w:p>
            <w:pPr>
              <w:spacing w:after="0"/>
              <w:rPr>
                <w:sz w:val="14"/>
                <w:szCs w:val="14"/>
                <w:color w:val="auto"/>
              </w:rPr>
            </w:pPr>
          </w:p>
        </w:tc>
        <w:tc>
          <w:tcPr>
            <w:tcW w:w="2860" w:type="dxa"/>
            <w:vAlign w:val="bottom"/>
            <w:gridSpan w:val="12"/>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Exhibit 3.4 to the Registrant’s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2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Registration Statement on Form S-1, as amended, filed with the SEC on July 9,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160" w:type="dxa"/>
            <w:vAlign w:val="bottom"/>
            <w:tcBorders>
              <w:top w:val="single" w:sz="8" w:color="0000FF"/>
            </w:tcBorders>
            <w:gridSpan w:val="6"/>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8"/>
          </w:tcPr>
          <w:p>
            <w:pPr>
              <w:spacing w:after="0" w:line="169" w:lineRule="exact"/>
              <w:rPr>
                <w:rFonts w:ascii="Arial" w:cs="Arial" w:eastAsia="Arial" w:hAnsi="Arial"/>
                <w:sz w:val="18"/>
                <w:szCs w:val="18"/>
                <w:color w:val="0000FF"/>
                <w:w w:val="88"/>
              </w:rPr>
            </w:pPr>
            <w:hyperlink r:id="rId164">
              <w:r>
                <w:rPr>
                  <w:rFonts w:ascii="Arial" w:cs="Arial" w:eastAsia="Arial" w:hAnsi="Arial"/>
                  <w:sz w:val="18"/>
                  <w:szCs w:val="18"/>
                  <w:color w:val="0000FF"/>
                  <w:w w:val="88"/>
                </w:rPr>
                <w:t>Specimen Class A common stock certificate of the Registrant (incorporated by reference</w:t>
              </w:r>
            </w:hyperlink>
          </w:p>
        </w:tc>
        <w:tc>
          <w:tcPr>
            <w:tcW w:w="3840" w:type="dxa"/>
            <w:vAlign w:val="bottom"/>
            <w:gridSpan w:val="14"/>
          </w:tcPr>
          <w:p>
            <w:pPr>
              <w:ind w:left="180"/>
              <w:spacing w:after="0" w:line="169" w:lineRule="exact"/>
              <w:rPr>
                <w:rFonts w:ascii="Arial" w:cs="Arial" w:eastAsia="Arial" w:hAnsi="Arial"/>
                <w:sz w:val="18"/>
                <w:szCs w:val="18"/>
                <w:color w:val="0000FF"/>
              </w:rPr>
            </w:pPr>
            <w:hyperlink r:id="rId164">
              <w:r>
                <w:rPr>
                  <w:rFonts w:ascii="Arial" w:cs="Arial" w:eastAsia="Arial" w:hAnsi="Arial"/>
                  <w:sz w:val="18"/>
                  <w:szCs w:val="18"/>
                  <w:color w:val="0000FF"/>
                </w:rPr>
                <w:t>to Exhibit 4.1 to the Registrant’s Registration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Statement on Form S-1, as amended, filed with the SEC on July 26,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32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6"/>
          </w:tcPr>
          <w:p>
            <w:pPr>
              <w:spacing w:after="0" w:line="169" w:lineRule="exact"/>
              <w:rPr>
                <w:rFonts w:ascii="Arial" w:cs="Arial" w:eastAsia="Arial" w:hAnsi="Arial"/>
                <w:sz w:val="18"/>
                <w:szCs w:val="18"/>
                <w:color w:val="0000FF"/>
                <w:w w:val="94"/>
              </w:rPr>
            </w:pPr>
            <w:hyperlink r:id="rId165">
              <w:r>
                <w:rPr>
                  <w:rFonts w:ascii="Arial" w:cs="Arial" w:eastAsia="Arial" w:hAnsi="Arial"/>
                  <w:sz w:val="18"/>
                  <w:szCs w:val="18"/>
                  <w:color w:val="0000FF"/>
                  <w:w w:val="94"/>
                </w:rPr>
                <w:t>Description of Securities (incorporated by reference to Exhibit 4.2 to the</w:t>
              </w:r>
            </w:hyperlink>
          </w:p>
        </w:tc>
        <w:tc>
          <w:tcPr>
            <w:tcW w:w="4680" w:type="dxa"/>
            <w:vAlign w:val="bottom"/>
            <w:gridSpan w:val="16"/>
          </w:tcPr>
          <w:p>
            <w:pPr>
              <w:spacing w:after="0" w:line="169"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Registrant’s Annual Report on Form 10-K, filed with the SEC on</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March 31, 2022).</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Amendment No.</w:t>
              </w:r>
            </w:hyperlink>
          </w:p>
        </w:tc>
        <w:tc>
          <w:tcPr>
            <w:tcW w:w="20" w:type="dxa"/>
            <w:vAlign w:val="bottom"/>
            <w:tcBorders>
              <w:top w:val="single" w:sz="8" w:color="0000EE"/>
              <w:bottom w:val="single" w:sz="8" w:color="0000FF"/>
            </w:tcBorders>
          </w:tcPr>
          <w:p>
            <w:pPr>
              <w:spacing w:after="0"/>
              <w:rPr>
                <w:sz w:val="14"/>
                <w:szCs w:val="14"/>
                <w:color w:val="auto"/>
              </w:rPr>
            </w:pPr>
          </w:p>
        </w:tc>
        <w:tc>
          <w:tcPr>
            <w:tcW w:w="8100" w:type="dxa"/>
            <w:vAlign w:val="bottom"/>
            <w:tcBorders>
              <w:bottom w:val="single" w:sz="8" w:color="0000FF"/>
            </w:tcBorders>
            <w:gridSpan w:val="11"/>
          </w:tcPr>
          <w:p>
            <w:pPr>
              <w:spacing w:after="0" w:line="169"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1 to Service Agreement, dated March 21, 2022, by and between Rani Therapeutics, LLC and InCube Labs, LLC</w:t>
              </w:r>
            </w:hyperlink>
          </w:p>
        </w:tc>
        <w:tc>
          <w:tcPr>
            <w:tcW w:w="7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2"/>
          </w:tcPr>
          <w:p>
            <w:pPr>
              <w:spacing w:after="0" w:line="156"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(incorporated by reference to Exhibit 10.14 to the Registrant’s Annual Report on Form 10-K, filed with the SEC on March 31, 2022).</w:t>
              </w:r>
            </w:hyperlink>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96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Employment Agreement, dated April 12, 2022, by and between Rani Therapeutics, LLC and Eric Groen.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7540" w:type="dxa"/>
            <w:vAlign w:val="bottom"/>
            <w:tcBorders>
              <w:top w:val="single" w:sz="8" w:color="0000FF"/>
            </w:tcBorders>
            <w:gridSpan w:val="11"/>
          </w:tcPr>
          <w:p>
            <w:pPr>
              <w:spacing w:after="0" w:line="16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Certification of Principal Executive Officer Pursuant to Rules 13a-14(a) and 15d-14(a) under the Securities</w:t>
              </w:r>
            </w:hyperlink>
          </w:p>
        </w:tc>
        <w:tc>
          <w:tcPr>
            <w:tcW w:w="20" w:type="dxa"/>
            <w:vAlign w:val="bottom"/>
            <w:tcBorders>
              <w:top w:val="single" w:sz="8" w:color="0000EE"/>
            </w:tcBorders>
          </w:tcPr>
          <w:p>
            <w:pPr>
              <w:spacing w:after="0"/>
              <w:rPr>
                <w:sz w:val="14"/>
                <w:szCs w:val="14"/>
                <w:color w:val="auto"/>
              </w:rPr>
            </w:pPr>
          </w:p>
        </w:tc>
        <w:tc>
          <w:tcPr>
            <w:tcW w:w="2520" w:type="dxa"/>
            <w:vAlign w:val="bottom"/>
            <w:gridSpan w:val="10"/>
          </w:tcPr>
          <w:p>
            <w:pPr>
              <w:ind w:left="200"/>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Exchange Act of 1934, as</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9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Adopted Pursuant to Section 302 of the Sarbanes-Oxley Act of 2002.</w:t>
              </w:r>
            </w:hyperlink>
          </w:p>
        </w:tc>
        <w:tc>
          <w:tcPr>
            <w:tcW w:w="4680" w:type="dxa"/>
            <w:vAlign w:val="bottom"/>
            <w:tcBorders>
              <w:top w:val="single" w:sz="8" w:color="0000FF"/>
            </w:tcBorders>
            <w:gridSpan w:val="13"/>
          </w:tcPr>
          <w:p>
            <w:pPr>
              <w:spacing w:after="0"/>
              <w:rPr>
                <w:sz w:val="13"/>
                <w:szCs w:val="13"/>
                <w:color w:val="auto"/>
              </w:rPr>
            </w:pPr>
          </w:p>
        </w:tc>
        <w:tc>
          <w:tcPr>
            <w:tcW w:w="140" w:type="dxa"/>
            <w:vAlign w:val="bottom"/>
            <w:gridSpan w:val="2"/>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22"/>
          </w:tcPr>
          <w:p>
            <w:pPr>
              <w:spacing w:after="0" w:line="169" w:lineRule="exact"/>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Adopted Pursuant to Section 302 of the Sarbanes-Oxley Act of 2002.</w:t>
              </w:r>
            </w:hyperlink>
          </w:p>
        </w:tc>
        <w:tc>
          <w:tcPr>
            <w:tcW w:w="18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980" w:type="dxa"/>
            <w:vAlign w:val="bottom"/>
            <w:tcBorders>
              <w:top w:val="single" w:sz="8" w:color="0000FF"/>
            </w:tcBorders>
            <w:gridSpan w:val="4"/>
          </w:tcPr>
          <w:p>
            <w:pPr>
              <w:spacing w:after="0" w:line="169" w:lineRule="exact"/>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of Principal Executive Officer and Principal Financial</w:t>
              </w:r>
            </w:hyperlink>
          </w:p>
        </w:tc>
        <w:tc>
          <w:tcPr>
            <w:tcW w:w="5100" w:type="dxa"/>
            <w:vAlign w:val="bottom"/>
            <w:gridSpan w:val="18"/>
          </w:tcPr>
          <w:p>
            <w:pPr>
              <w:spacing w:after="0" w:line="169"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Officer Pursuant to 18 U.S.C. Section 1350, as Adopted Pursuant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Section 906 of the Sarbanes-Oxley Act of 2002.</w:t>
              </w:r>
            </w:hyperlink>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6" w:lineRule="exact"/>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346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auto"/>
                <w:w w:val="92"/>
              </w:rPr>
              <w:t>Inline XBRL Instance Document – the instance</w:t>
            </w:r>
          </w:p>
        </w:tc>
        <w:tc>
          <w:tcPr>
            <w:tcW w:w="6620" w:type="dxa"/>
            <w:vAlign w:val="bottom"/>
            <w:gridSpan w:val="19"/>
          </w:tcPr>
          <w:p>
            <w:pPr>
              <w:spacing w:after="0" w:line="156" w:lineRule="exact"/>
              <w:rPr>
                <w:sz w:val="20"/>
                <w:szCs w:val="20"/>
                <w:color w:val="auto"/>
              </w:rPr>
            </w:pPr>
            <w:r>
              <w:rPr>
                <w:rFonts w:ascii="Arial" w:cs="Arial" w:eastAsia="Arial" w:hAnsi="Arial"/>
                <w:sz w:val="18"/>
                <w:szCs w:val="18"/>
                <w:color w:val="auto"/>
                <w:w w:val="92"/>
              </w:rPr>
              <w:t>document does not appear in the Interactive Data File because XBRL tags are embedded</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2"/>
          </w:tcPr>
          <w:p>
            <w:pPr>
              <w:spacing w:after="0" w:line="189"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ind w:left="580" w:hanging="559"/>
        <w:spacing w:after="0" w:line="227" w:lineRule="auto"/>
        <w:tabs>
          <w:tab w:leader="none" w:pos="58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Filed herewith.</w:t>
      </w:r>
    </w:p>
    <w:p>
      <w:pPr>
        <w:spacing w:after="0" w:line="2" w:lineRule="exact"/>
        <w:rPr>
          <w:sz w:val="20"/>
          <w:szCs w:val="20"/>
          <w:color w:val="auto"/>
        </w:rPr>
      </w:pPr>
    </w:p>
    <w:p>
      <w:pPr>
        <w:ind w:left="580" w:right="60" w:hanging="559"/>
        <w:spacing w:after="0" w:line="20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 w:lineRule="exact"/>
        <w:rPr>
          <w:sz w:val="20"/>
          <w:szCs w:val="20"/>
          <w:color w:val="auto"/>
        </w:rPr>
      </w:pPr>
    </w:p>
    <w:p>
      <w:pPr>
        <w:ind w:left="580" w:hanging="559"/>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680" w:type="dxa"/>
            <w:vAlign w:val="bottom"/>
            <w:gridSpan w:val="2"/>
          </w:tcPr>
          <w:p>
            <w:pPr>
              <w:ind w:left="2120"/>
              <w:spacing w:after="0"/>
              <w:rPr>
                <w:sz w:val="20"/>
                <w:szCs w:val="20"/>
                <w:color w:val="auto"/>
              </w:rPr>
            </w:pPr>
            <w:r>
              <w:rPr>
                <w:rFonts w:ascii="Arial" w:cs="Arial" w:eastAsia="Arial" w:hAnsi="Arial"/>
                <w:sz w:val="18"/>
                <w:szCs w:val="18"/>
                <w:color w:val="auto"/>
              </w:rPr>
              <w:t>Rani Therapeutics Holdings, Inc.</w:t>
            </w:r>
          </w:p>
        </w:tc>
      </w:tr>
      <w:tr>
        <w:trPr>
          <w:trHeight w:val="351"/>
        </w:trPr>
        <w:tc>
          <w:tcPr>
            <w:tcW w:w="3540" w:type="dxa"/>
            <w:vAlign w:val="bottom"/>
          </w:tcPr>
          <w:p>
            <w:pPr>
              <w:spacing w:after="0"/>
              <w:rPr>
                <w:sz w:val="20"/>
                <w:szCs w:val="20"/>
                <w:color w:val="auto"/>
              </w:rPr>
            </w:pPr>
            <w:r>
              <w:rPr>
                <w:rFonts w:ascii="Arial" w:cs="Arial" w:eastAsia="Arial" w:hAnsi="Arial"/>
                <w:sz w:val="18"/>
                <w:szCs w:val="18"/>
                <w:color w:val="auto"/>
              </w:rPr>
              <w:t>Date: May 11, 2022</w:t>
            </w:r>
          </w:p>
        </w:tc>
        <w:tc>
          <w:tcPr>
            <w:tcW w:w="254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Talat Imran</w:t>
            </w:r>
          </w:p>
        </w:tc>
      </w:tr>
      <w:tr>
        <w:trPr>
          <w:trHeight w:val="155"/>
        </w:trPr>
        <w:tc>
          <w:tcPr>
            <w:tcW w:w="3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140" w:type="dxa"/>
            <w:vAlign w:val="bottom"/>
          </w:tcPr>
          <w:p>
            <w:pPr>
              <w:jc w:val="center"/>
              <w:spacing w:after="0" w:line="154" w:lineRule="exact"/>
              <w:rPr>
                <w:sz w:val="20"/>
                <w:szCs w:val="20"/>
                <w:color w:val="auto"/>
              </w:rPr>
            </w:pPr>
            <w:r>
              <w:rPr>
                <w:rFonts w:ascii="Arial" w:cs="Arial" w:eastAsia="Arial" w:hAnsi="Arial"/>
                <w:sz w:val="17"/>
                <w:szCs w:val="17"/>
                <w:b w:val="1"/>
                <w:bCs w:val="1"/>
                <w:color w:val="auto"/>
              </w:rPr>
              <w:t>Talat Imran</w:t>
            </w:r>
          </w:p>
        </w:tc>
      </w:tr>
      <w:tr>
        <w:trPr>
          <w:trHeight w:val="189"/>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Pr>
          <w:p>
            <w:pPr>
              <w:ind w:left="1700"/>
              <w:spacing w:after="0" w:line="189" w:lineRule="exact"/>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51"/>
        </w:trPr>
        <w:tc>
          <w:tcPr>
            <w:tcW w:w="3540" w:type="dxa"/>
            <w:vAlign w:val="bottom"/>
          </w:tcPr>
          <w:p>
            <w:pPr>
              <w:spacing w:after="0"/>
              <w:rPr>
                <w:sz w:val="20"/>
                <w:szCs w:val="20"/>
                <w:color w:val="auto"/>
              </w:rPr>
            </w:pPr>
            <w:r>
              <w:rPr>
                <w:rFonts w:ascii="Arial" w:cs="Arial" w:eastAsia="Arial" w:hAnsi="Arial"/>
                <w:sz w:val="18"/>
                <w:szCs w:val="18"/>
                <w:color w:val="auto"/>
              </w:rPr>
              <w:t>Date: May 11, 2022</w:t>
            </w:r>
          </w:p>
        </w:tc>
        <w:tc>
          <w:tcPr>
            <w:tcW w:w="254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Svai Sanford</w:t>
            </w:r>
          </w:p>
        </w:tc>
      </w:tr>
      <w:tr>
        <w:trPr>
          <w:trHeight w:val="171"/>
        </w:trPr>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14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89"/>
              </w:rPr>
              <w:t>Svai Sanford</w:t>
            </w:r>
          </w:p>
        </w:tc>
      </w:tr>
    </w:tbl>
    <w:p>
      <w:pPr>
        <w:jc w:val="center"/>
        <w:ind w:left="6040"/>
        <w:spacing w:after="0" w:line="219" w:lineRule="auto"/>
        <w:rPr>
          <w:sz w:val="20"/>
          <w:szCs w:val="20"/>
          <w:color w:val="auto"/>
        </w:rPr>
      </w:pPr>
      <w:r>
        <w:rPr>
          <w:rFonts w:ascii="Arial" w:cs="Arial" w:eastAsia="Arial" w:hAnsi="Arial"/>
          <w:sz w:val="18"/>
          <w:szCs w:val="18"/>
          <w:i w:val="1"/>
          <w:iCs w:val="1"/>
          <w:color w:val="auto"/>
        </w:rPr>
        <w:t>Chief Financial Officer</w:t>
      </w:r>
    </w:p>
    <w:p>
      <w:pPr>
        <w:jc w:val="cente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10.2</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RANI THERAPEUTICS,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12, 2022</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Groen VIA EMAIL</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 Employment Agreement</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Dear Eric:</w:t>
      </w:r>
    </w:p>
    <w:p>
      <w:pPr>
        <w:spacing w:after="0" w:line="248" w:lineRule="exact"/>
        <w:rPr>
          <w:sz w:val="20"/>
          <w:szCs w:val="20"/>
          <w:color w:val="auto"/>
        </w:rPr>
      </w:pPr>
    </w:p>
    <w:p>
      <w:pPr>
        <w:jc w:val="both"/>
        <w:ind w:left="40" w:right="120" w:firstLine="747"/>
        <w:spacing w:after="0" w:line="242" w:lineRule="auto"/>
        <w:rPr>
          <w:sz w:val="20"/>
          <w:szCs w:val="20"/>
          <w:color w:val="auto"/>
        </w:rPr>
      </w:pPr>
      <w:r>
        <w:rPr>
          <w:rFonts w:ascii="Arial" w:cs="Arial" w:eastAsia="Arial" w:hAnsi="Arial"/>
          <w:sz w:val="18"/>
          <w:szCs w:val="18"/>
          <w:color w:val="auto"/>
        </w:rPr>
        <w:t xml:space="preserve">You are currently employed by </w:t>
      </w:r>
      <w:r>
        <w:rPr>
          <w:rFonts w:ascii="Arial" w:cs="Arial" w:eastAsia="Arial" w:hAnsi="Arial"/>
          <w:sz w:val="18"/>
          <w:szCs w:val="18"/>
          <w:b w:val="1"/>
          <w:bCs w:val="1"/>
          <w:color w:val="auto"/>
        </w:rPr>
        <w:t>RANI MANAGEMENT SERVICES, INC.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RMS</w:t>
      </w:r>
      <w:r>
        <w:rPr>
          <w:rFonts w:ascii="Arial" w:cs="Arial" w:eastAsia="Arial" w:hAnsi="Arial"/>
          <w:sz w:val="18"/>
          <w:szCs w:val="18"/>
          <w:color w:val="auto"/>
        </w:rPr>
        <w:t>”) under the terms of an offer letter between you and RMS dated July 29, 2021 (the “</w:t>
      </w: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 Your employment is being transitioned to Rani Therapeutics, LLC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reflects your new employment terms. Once you accept this Agreement by signing and returning it to the Company, this Agreement shall supersede and replace your Offer Letter in its entirety. This Agreement, together with the other documents and agreements referenced herein, shall then govern the terms of your employment with the Company.</w:t>
      </w:r>
    </w:p>
    <w:p>
      <w:pPr>
        <w:spacing w:after="0" w:line="212" w:lineRule="exact"/>
        <w:rPr>
          <w:sz w:val="20"/>
          <w:szCs w:val="20"/>
          <w:color w:val="auto"/>
        </w:rPr>
      </w:pPr>
    </w:p>
    <w:p>
      <w:pPr>
        <w:ind w:left="780" w:hanging="749"/>
        <w:spacing w:after="0"/>
        <w:tabs>
          <w:tab w:leader="none" w:pos="7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540" w:hanging="759"/>
        <w:spacing w:after="0"/>
        <w:tabs>
          <w:tab w:leader="none" w:pos="154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General Counsel.</w:t>
      </w:r>
    </w:p>
    <w:p>
      <w:pPr>
        <w:spacing w:after="0" w:line="252" w:lineRule="exact"/>
        <w:rPr>
          <w:rFonts w:ascii="Arial" w:cs="Arial" w:eastAsia="Arial" w:hAnsi="Arial"/>
          <w:sz w:val="18"/>
          <w:szCs w:val="18"/>
          <w:b w:val="1"/>
          <w:bCs w:val="1"/>
          <w:color w:val="auto"/>
        </w:rPr>
      </w:pPr>
    </w:p>
    <w:p>
      <w:pPr>
        <w:jc w:val="both"/>
        <w:ind w:left="40" w:right="120" w:firstLine="739"/>
        <w:spacing w:after="0" w:line="241" w:lineRule="auto"/>
        <w:tabs>
          <w:tab w:leader="none" w:pos="1527"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continue to perform those duties and responsibilities as are customary for the position of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as 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224" w:lineRule="exact"/>
        <w:rPr>
          <w:rFonts w:ascii="Arial" w:cs="Arial" w:eastAsia="Arial" w:hAnsi="Arial"/>
          <w:sz w:val="18"/>
          <w:szCs w:val="18"/>
          <w:b w:val="1"/>
          <w:bCs w:val="1"/>
          <w:color w:val="auto"/>
        </w:rPr>
      </w:pPr>
    </w:p>
    <w:p>
      <w:pPr>
        <w:jc w:val="both"/>
        <w:ind w:left="40" w:right="120" w:firstLine="739"/>
        <w:spacing w:after="0" w:line="255" w:lineRule="auto"/>
        <w:tabs>
          <w:tab w:leader="none" w:pos="1527" w:val="left"/>
        </w:tabs>
        <w:numPr>
          <w:ilvl w:val="1"/>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w:t>
      </w:r>
      <w:r>
        <w:rPr>
          <w:rFonts w:ascii="Arial" w:cs="Arial" w:eastAsia="Arial" w:hAnsi="Arial"/>
          <w:sz w:val="17"/>
          <w:szCs w:val="17"/>
          <w:b w:val="1"/>
          <w:bCs w:val="1"/>
          <w:color w:val="auto"/>
        </w:rPr>
        <w:t xml:space="preserve"> </w:t>
      </w:r>
      <w:r>
        <w:rPr>
          <w:rFonts w:ascii="Arial" w:cs="Arial" w:eastAsia="Arial" w:hAnsi="Arial"/>
          <w:sz w:val="17"/>
          <w:szCs w:val="17"/>
          <w:color w:val="auto"/>
        </w:rPr>
        <w:t>as such 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38" w:name="page39"/>
    <w:bookmarkEnd w:id="38"/>
    <w:p>
      <w:pPr>
        <w:ind w:left="780" w:hanging="749"/>
        <w:spacing w:after="0"/>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jc w:val="both"/>
        <w:ind w:left="40" w:firstLine="739"/>
        <w:spacing w:after="0" w:line="264" w:lineRule="auto"/>
        <w:tabs>
          <w:tab w:leader="none" w:pos="1527"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You are currently receiving a base salary of $375000 per year. Effective April 1, 2022, your base salary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increased to $390,000 per year. In all cases, your 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92" w:lineRule="exact"/>
        <w:rPr>
          <w:rFonts w:ascii="Arial" w:cs="Arial" w:eastAsia="Arial" w:hAnsi="Arial"/>
          <w:sz w:val="17"/>
          <w:szCs w:val="17"/>
          <w:b w:val="1"/>
          <w:bCs w:val="1"/>
          <w:color w:val="auto"/>
        </w:rPr>
      </w:pPr>
    </w:p>
    <w:p>
      <w:pPr>
        <w:jc w:val="both"/>
        <w:ind w:left="40" w:firstLine="739"/>
        <w:spacing w:after="0" w:line="245" w:lineRule="auto"/>
        <w:tabs>
          <w:tab w:leader="none" w:pos="152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offered 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221" w:lineRule="exact"/>
        <w:rPr>
          <w:rFonts w:ascii="Arial" w:cs="Arial" w:eastAsia="Arial" w:hAnsi="Arial"/>
          <w:sz w:val="18"/>
          <w:szCs w:val="18"/>
          <w:b w:val="1"/>
          <w:bCs w:val="1"/>
          <w:color w:val="auto"/>
        </w:rPr>
      </w:pPr>
    </w:p>
    <w:p>
      <w:pPr>
        <w:jc w:val="both"/>
        <w:ind w:left="40" w:firstLine="739"/>
        <w:spacing w:after="0" w:line="250" w:lineRule="auto"/>
        <w:tabs>
          <w:tab w:leader="none" w:pos="152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You are also eligible to earn an annual bonus with a new target amount equal to 75% of your annual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bonus will be determined in the sole discretion of the Board of Directors of Rani Therapeutics Holdings, Inc. or the Compensation Committee thereof.</w:t>
      </w:r>
    </w:p>
    <w:p>
      <w:pPr>
        <w:spacing w:after="0" w:line="217" w:lineRule="exact"/>
        <w:rPr>
          <w:rFonts w:ascii="Arial" w:cs="Arial" w:eastAsia="Arial" w:hAnsi="Arial"/>
          <w:sz w:val="18"/>
          <w:szCs w:val="18"/>
          <w:b w:val="1"/>
          <w:bCs w:val="1"/>
          <w:color w:val="auto"/>
        </w:rPr>
      </w:pPr>
    </w:p>
    <w:p>
      <w:pPr>
        <w:jc w:val="both"/>
        <w:ind w:left="40" w:firstLine="739"/>
        <w:spacing w:after="0" w:line="250" w:lineRule="auto"/>
        <w:tabs>
          <w:tab w:leader="none" w:pos="152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Inc. 2021 Equity Incentive Plan or any successor plan, subject to the terms of the Plan or successor plan, as determined by the Board of Directors of Rani Therapeutics Holdings, Inc. or its Compensation Committee, in its discretion.</w:t>
      </w:r>
    </w:p>
    <w:p>
      <w:pPr>
        <w:spacing w:after="0" w:line="203" w:lineRule="exact"/>
        <w:rPr>
          <w:rFonts w:ascii="Arial" w:cs="Arial" w:eastAsia="Arial" w:hAnsi="Arial"/>
          <w:sz w:val="18"/>
          <w:szCs w:val="18"/>
          <w:b w:val="1"/>
          <w:bCs w:val="1"/>
          <w:color w:val="auto"/>
        </w:rPr>
      </w:pPr>
    </w:p>
    <w:p>
      <w:pPr>
        <w:jc w:val="both"/>
        <w:ind w:left="40" w:firstLine="739"/>
        <w:spacing w:after="0" w:line="245" w:lineRule="auto"/>
        <w:tabs>
          <w:tab w:leader="none" w:pos="152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and 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right to severance provided by other agreements or promises made to you by anyone, whether oral or written, is hereby extinguished.</w:t>
      </w:r>
    </w:p>
    <w:p>
      <w:pPr>
        <w:spacing w:after="0" w:line="221" w:lineRule="exact"/>
        <w:rPr>
          <w:rFonts w:ascii="Arial" w:cs="Arial" w:eastAsia="Arial" w:hAnsi="Arial"/>
          <w:sz w:val="18"/>
          <w:szCs w:val="18"/>
          <w:b w:val="1"/>
          <w:bCs w:val="1"/>
          <w:color w:val="auto"/>
        </w:rPr>
      </w:pPr>
    </w:p>
    <w:p>
      <w:pPr>
        <w:jc w:val="both"/>
        <w:ind w:left="40" w:firstLine="739"/>
        <w:spacing w:after="0" w:line="250" w:lineRule="auto"/>
        <w:tabs>
          <w:tab w:leader="none" w:pos="152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w:t>
      </w:r>
      <w:r>
        <w:rPr>
          <w:rFonts w:ascii="Arial" w:cs="Arial" w:eastAsia="Arial" w:hAnsi="Arial"/>
          <w:sz w:val="18"/>
          <w:szCs w:val="18"/>
          <w:b w:val="1"/>
          <w:bCs w:val="1"/>
          <w:color w:val="auto"/>
        </w:rPr>
        <w:t xml:space="preserve"> </w:t>
      </w:r>
      <w:r>
        <w:rPr>
          <w:rFonts w:ascii="Arial" w:cs="Arial" w:eastAsia="Arial" w:hAnsi="Arial"/>
          <w:sz w:val="18"/>
          <w:szCs w:val="18"/>
          <w:color w:val="auto"/>
        </w:rPr>
        <w:t>of or in connection with the performance of your duties hereunder, in accordance with the Company’s expense reimbursement policies and practices as in effect from time to time.</w:t>
      </w:r>
    </w:p>
    <w:p>
      <w:pPr>
        <w:spacing w:after="0" w:line="217" w:lineRule="exact"/>
        <w:rPr>
          <w:sz w:val="20"/>
          <w:szCs w:val="20"/>
          <w:color w:val="auto"/>
        </w:rPr>
      </w:pPr>
    </w:p>
    <w:p>
      <w:pPr>
        <w:jc w:val="both"/>
        <w:ind w:left="160" w:hanging="134"/>
        <w:spacing w:after="0" w:line="250" w:lineRule="auto"/>
        <w:rPr>
          <w:sz w:val="20"/>
          <w:szCs w:val="20"/>
          <w:color w:val="auto"/>
        </w:rPr>
      </w:pPr>
      <w:r>
        <w:rPr>
          <w:rFonts w:ascii="Arial" w:cs="Arial" w:eastAsia="Arial" w:hAnsi="Arial"/>
          <w:sz w:val="18"/>
          <w:szCs w:val="18"/>
          <w:b w:val="1"/>
          <w:bCs w:val="1"/>
          <w:color w:val="auto"/>
        </w:rPr>
        <w:t>3.CONFIDENTIAL INFORMATION</w:t>
      </w:r>
      <w:r>
        <w:rPr>
          <w:rFonts w:ascii="Arial" w:cs="Arial" w:eastAsia="Arial" w:hAnsi="Arial"/>
          <w:sz w:val="18"/>
          <w:szCs w:val="18"/>
          <w:color w:val="auto"/>
        </w:rPr>
        <w:t>. As a Company employee, you will be expected to continue to abide by Company rules and policies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217" w:lineRule="exact"/>
        <w:rPr>
          <w:sz w:val="20"/>
          <w:szCs w:val="20"/>
          <w:color w:val="auto"/>
        </w:rPr>
      </w:pPr>
    </w:p>
    <w:p>
      <w:pPr>
        <w:jc w:val="both"/>
        <w:ind w:left="160" w:hanging="134"/>
        <w:spacing w:after="0" w:line="250" w:lineRule="auto"/>
        <w:rPr>
          <w:sz w:val="20"/>
          <w:szCs w:val="20"/>
          <w:color w:val="auto"/>
        </w:rPr>
      </w:pPr>
      <w:r>
        <w:rPr>
          <w:rFonts w:ascii="Arial" w:cs="Arial" w:eastAsia="Arial" w:hAnsi="Arial"/>
          <w:sz w:val="18"/>
          <w:szCs w:val="18"/>
          <w:b w:val="1"/>
          <w:bCs w:val="1"/>
          <w:color w:val="auto"/>
        </w:rPr>
        <w:t>4.AT-WILL EMPLOYMENT RELATIONSHIP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5" w:right="459" w:bottom="1440" w:gutter="0" w:footer="0" w:header="0"/>
        </w:sectPr>
      </w:pPr>
    </w:p>
    <w:bookmarkStart w:id="39" w:name="page40"/>
    <w:bookmarkEnd w:id="39"/>
    <w:p>
      <w:pPr>
        <w:jc w:val="both"/>
        <w:ind w:left="160" w:hanging="134"/>
        <w:spacing w:after="0" w:line="273" w:lineRule="auto"/>
        <w:rPr>
          <w:sz w:val="20"/>
          <w:szCs w:val="20"/>
          <w:color w:val="auto"/>
        </w:rPr>
      </w:pPr>
      <w:r>
        <w:rPr>
          <w:rFonts w:ascii="Arial" w:cs="Arial" w:eastAsia="Arial" w:hAnsi="Arial"/>
          <w:sz w:val="16"/>
          <w:szCs w:val="16"/>
          <w:b w:val="1"/>
          <w:bCs w:val="1"/>
          <w:color w:val="auto"/>
        </w:rPr>
        <w:t>5.COMPLIANCE WITH OR EXEMPTION FROM SECTION 409A</w:t>
      </w:r>
      <w:r>
        <w:rPr>
          <w:rFonts w:ascii="Arial" w:cs="Arial" w:eastAsia="Arial" w:hAnsi="Arial"/>
          <w:sz w:val="16"/>
          <w:szCs w:val="16"/>
          <w:color w:val="auto"/>
        </w:rPr>
        <w:t>. It is intended that the benefits set forth in this Agreement satisfy,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189" w:lineRule="exact"/>
        <w:rPr>
          <w:sz w:val="20"/>
          <w:szCs w:val="20"/>
          <w:color w:val="auto"/>
        </w:rPr>
      </w:pPr>
    </w:p>
    <w:p>
      <w:pPr>
        <w:ind w:left="780" w:hanging="749"/>
        <w:spacing w:after="0"/>
        <w:tabs>
          <w:tab w:leader="none" w:pos="7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jc w:val="both"/>
        <w:ind w:left="40" w:firstLine="739"/>
        <w:spacing w:after="0" w:line="255" w:lineRule="auto"/>
        <w:tabs>
          <w:tab w:leader="none" w:pos="1527"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JAMS’ then applicable rules and procedures for employment disputes before a single arbitrator (available upon request and also currently available at http://www.jamsadr.com/rules-employment-arbitration/). </w:t>
      </w:r>
      <w:r>
        <w:rPr>
          <w:rFonts w:ascii="Arial" w:cs="Arial" w:eastAsia="Arial" w:hAnsi="Arial"/>
          <w:sz w:val="17"/>
          <w:szCs w:val="17"/>
          <w:b w:val="1"/>
          <w:bCs w:val="1"/>
          <w:color w:val="auto"/>
        </w:rPr>
        <w:t>You acknowledge that by agreeing to this arbitration procedure, both you and the Company waive the right to resolve</w:t>
      </w:r>
      <w:r>
        <w:rPr>
          <w:rFonts w:ascii="Arial" w:cs="Arial" w:eastAsia="Arial" w:hAnsi="Arial"/>
          <w:sz w:val="17"/>
          <w:szCs w:val="17"/>
          <w:color w:val="auto"/>
        </w:rPr>
        <w:t xml:space="preserve"> </w:t>
      </w:r>
      <w:r>
        <w:rPr>
          <w:rFonts w:ascii="Arial" w:cs="Arial" w:eastAsia="Arial" w:hAnsi="Arial"/>
          <w:sz w:val="17"/>
          <w:szCs w:val="17"/>
          <w:b w:val="1"/>
          <w:bCs w:val="1"/>
          <w:color w:val="auto"/>
        </w:rPr>
        <w:t>any such dispute through a trial by jury or judge or administrative proceeding</w:t>
      </w:r>
      <w:r>
        <w:rPr>
          <w:rFonts w:ascii="Arial" w:cs="Arial" w:eastAsia="Arial" w:hAnsi="Arial"/>
          <w:sz w:val="17"/>
          <w:szCs w:val="17"/>
          <w:color w:val="auto"/>
        </w:rPr>
        <w:t>.</w:t>
      </w:r>
    </w:p>
    <w:p>
      <w:pPr>
        <w:spacing w:after="0" w:line="201" w:lineRule="exact"/>
        <w:rPr>
          <w:rFonts w:ascii="Arial" w:cs="Arial" w:eastAsia="Arial" w:hAnsi="Arial"/>
          <w:sz w:val="17"/>
          <w:szCs w:val="17"/>
          <w:b w:val="1"/>
          <w:bCs w:val="1"/>
          <w:color w:val="auto"/>
        </w:rPr>
      </w:pPr>
    </w:p>
    <w:p>
      <w:pPr>
        <w:jc w:val="both"/>
        <w:ind w:left="40" w:firstLine="739"/>
        <w:spacing w:after="0" w:line="270" w:lineRule="auto"/>
        <w:tabs>
          <w:tab w:leader="none" w:pos="1527"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w:t>
      </w:r>
      <w:r>
        <w:rPr>
          <w:rFonts w:ascii="Arial" w:cs="Arial" w:eastAsia="Arial" w:hAnsi="Arial"/>
          <w:sz w:val="16"/>
          <w:szCs w:val="16"/>
          <w:b w:val="1"/>
          <w:bCs w:val="1"/>
          <w:color w:val="auto"/>
        </w:rPr>
        <w:t xml:space="preserve"> </w:t>
      </w:r>
      <w:r>
        <w:rPr>
          <w:rFonts w:ascii="Arial" w:cs="Arial" w:eastAsia="Arial" w:hAnsi="Arial"/>
          <w:sz w:val="16"/>
          <w:szCs w:val="16"/>
          <w:color w:val="auto"/>
        </w:rPr>
        <w:t>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5" w:right="459" w:bottom="1440" w:gutter="0" w:footer="0" w:header="0"/>
        </w:sectPr>
      </w:pPr>
    </w:p>
    <w:bookmarkStart w:id="40" w:name="page41"/>
    <w:bookmarkEnd w:id="40"/>
    <w:p>
      <w:pPr>
        <w:jc w:val="both"/>
        <w:ind w:left="40" w:firstLine="739"/>
        <w:spacing w:after="0" w:line="239" w:lineRule="auto"/>
        <w:tabs>
          <w:tab w:leader="none" w:pos="152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Process</w:t>
      </w:r>
      <w:r>
        <w:rPr>
          <w:rFonts w:ascii="Arial" w:cs="Arial" w:eastAsia="Arial" w:hAnsi="Arial"/>
          <w:sz w:val="18"/>
          <w:szCs w:val="18"/>
          <w:color w:val="auto"/>
        </w:rPr>
        <w:t>. You will have the right to be represented by legal counsel at any arbitration proceeding. Questions of whether a claim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214" w:lineRule="exact"/>
        <w:rPr>
          <w:rFonts w:ascii="Arial" w:cs="Arial" w:eastAsia="Arial" w:hAnsi="Arial"/>
          <w:sz w:val="18"/>
          <w:szCs w:val="18"/>
          <w:b w:val="1"/>
          <w:bCs w:val="1"/>
          <w:color w:val="auto"/>
        </w:rPr>
      </w:pPr>
    </w:p>
    <w:p>
      <w:pPr>
        <w:jc w:val="both"/>
        <w:ind w:left="40" w:firstLine="739"/>
        <w:spacing w:after="0" w:line="250" w:lineRule="auto"/>
        <w:tabs>
          <w:tab w:leader="none" w:pos="152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w:t>
      </w:r>
      <w:r>
        <w:rPr>
          <w:rFonts w:ascii="Arial" w:cs="Arial" w:eastAsia="Arial" w:hAnsi="Arial"/>
          <w:sz w:val="18"/>
          <w:szCs w:val="18"/>
          <w:b w:val="1"/>
          <w:bCs w:val="1"/>
          <w:color w:val="auto"/>
        </w:rPr>
        <w:t xml:space="preserve"> </w:t>
      </w:r>
      <w:r>
        <w:rPr>
          <w:rFonts w:ascii="Arial" w:cs="Arial" w:eastAsia="Arial" w:hAnsi="Arial"/>
          <w:sz w:val="18"/>
          <w:szCs w:val="18"/>
          <w:color w:val="auto"/>
        </w:rPr>
        <w:t>relief in court to prevent irreparable harm pending the conclusion of any such arbitration. Any awards or orders in such arbitrations may be entered and enforced as judgments in the federal and state courts of any competent jurisdiction.</w:t>
      </w:r>
    </w:p>
    <w:p>
      <w:pPr>
        <w:spacing w:after="0" w:line="217" w:lineRule="exact"/>
        <w:rPr>
          <w:sz w:val="20"/>
          <w:szCs w:val="20"/>
          <w:color w:val="auto"/>
        </w:rPr>
      </w:pPr>
    </w:p>
    <w:p>
      <w:pPr>
        <w:jc w:val="both"/>
        <w:ind w:left="160" w:hanging="134"/>
        <w:spacing w:after="0" w:line="252" w:lineRule="auto"/>
        <w:rPr>
          <w:sz w:val="20"/>
          <w:szCs w:val="20"/>
          <w:color w:val="auto"/>
        </w:rPr>
      </w:pPr>
      <w:r>
        <w:rPr>
          <w:rFonts w:ascii="Arial" w:cs="Arial" w:eastAsia="Arial" w:hAnsi="Arial"/>
          <w:sz w:val="17"/>
          <w:szCs w:val="17"/>
          <w:b w:val="1"/>
          <w:bCs w:val="1"/>
          <w:color w:val="auto"/>
        </w:rPr>
        <w:t>8.MISCELLANEOUS</w:t>
      </w:r>
      <w:r>
        <w:rPr>
          <w:rFonts w:ascii="Arial" w:cs="Arial" w:eastAsia="Arial" w:hAnsi="Arial"/>
          <w:sz w:val="17"/>
          <w:szCs w:val="17"/>
          <w:color w:val="auto"/>
        </w:rPr>
        <w:t>. This Agreement, together with the other agreements referenced herein, forms the complete and exclusive statement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agreement with the Company or its affiliates. It supersedes any other agreements or promises made to you by anyone, whether oral or written, including but not limited to the Offer Letter.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75" w:right="459" w:bottom="1440" w:gutter="0" w:footer="0" w:header="0"/>
        </w:sectPr>
      </w:pPr>
    </w:p>
    <w:bookmarkStart w:id="41" w:name="page42"/>
    <w:bookmarkEnd w:id="41"/>
    <w:p>
      <w:pPr>
        <w:ind w:left="780"/>
        <w:spacing w:after="0"/>
        <w:rPr>
          <w:sz w:val="20"/>
          <w:szCs w:val="20"/>
          <w:color w:val="auto"/>
        </w:rPr>
      </w:pPr>
      <w:r>
        <w:rPr>
          <w:rFonts w:ascii="Arial" w:cs="Arial" w:eastAsia="Arial" w:hAnsi="Arial"/>
          <w:sz w:val="16"/>
          <w:szCs w:val="16"/>
          <w:color w:val="auto"/>
        </w:rPr>
        <w:t>Please sign and date this Agreement and return a signed copy to me on or before April 15, 2022 to confirm your acceptance of this Agreement.</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RANI THERAPEUTICS,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-10160</wp:posOffset>
            </wp:positionV>
            <wp:extent cx="91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Svai Sanford</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Eric Groen</w:t>
            </w:r>
          </w:p>
        </w:tc>
        <w:tc>
          <w:tcPr>
            <w:tcW w:w="360" w:type="dxa"/>
            <w:vAlign w:val="bottom"/>
          </w:tcPr>
          <w:p>
            <w:pPr>
              <w:spacing w:after="0"/>
              <w:rPr>
                <w:sz w:val="17"/>
                <w:szCs w:val="17"/>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April 15, 2022</w:t>
            </w:r>
          </w:p>
        </w:tc>
      </w:tr>
      <w:tr>
        <w:trPr>
          <w:trHeight w:val="368"/>
        </w:trPr>
        <w:tc>
          <w:tcPr>
            <w:tcW w:w="1080" w:type="dxa"/>
            <w:vAlign w:val="bottom"/>
          </w:tcPr>
          <w:p>
            <w:pPr>
              <w:spacing w:after="0"/>
              <w:rPr>
                <w:sz w:val="20"/>
                <w:szCs w:val="20"/>
                <w:color w:val="auto"/>
              </w:rPr>
            </w:pPr>
            <w:r>
              <w:rPr>
                <w:rFonts w:ascii="Arial" w:cs="Arial" w:eastAsia="Arial" w:hAnsi="Arial"/>
                <w:sz w:val="18"/>
                <w:szCs w:val="18"/>
                <w:color w:val="auto"/>
              </w:rPr>
              <w:t>Eric Groen</w:t>
            </w:r>
          </w:p>
        </w:tc>
        <w:tc>
          <w:tcPr>
            <w:tcW w:w="3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Date</w:t>
            </w:r>
          </w:p>
        </w:tc>
      </w:tr>
    </w:tbl>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179"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Talat Imran, certify that:</w:t>
      </w:r>
    </w:p>
    <w:p>
      <w:pPr>
        <w:spacing w:after="0" w:line="212"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11"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hanging="752"/>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hanging="752"/>
        <w:spacing w:after="0" w:line="324"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2022</w:t>
      </w:r>
    </w:p>
    <w:p>
      <w:pPr>
        <w:spacing w:after="0" w:line="21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-10160</wp:posOffset>
            </wp:positionV>
            <wp:extent cx="18281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8"/>
          <w:szCs w:val="18"/>
          <w:color w:val="auto"/>
        </w:rPr>
        <w:t>Talat Imran</w:t>
      </w:r>
    </w:p>
    <w:p>
      <w:pPr>
        <w:ind w:left="77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Svai Sanford, certify that:</w:t>
      </w:r>
    </w:p>
    <w:p>
      <w:pPr>
        <w:spacing w:after="0" w:line="212"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11"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hanging="752"/>
        <w:spacing w:after="0" w:line="261"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hanging="752"/>
        <w:spacing w:after="0" w:line="324"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2022</w:t>
      </w:r>
    </w:p>
    <w:p>
      <w:pPr>
        <w:spacing w:after="0" w:line="2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__/s/ Svai Sanford__________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-10160</wp:posOffset>
            </wp:positionV>
            <wp:extent cx="18726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jc w:val="center"/>
        <w:ind w:left="4100"/>
        <w:spacing w:after="0"/>
        <w:rPr>
          <w:sz w:val="20"/>
          <w:szCs w:val="20"/>
          <w:color w:val="auto"/>
        </w:rPr>
      </w:pPr>
      <w:r>
        <w:rPr>
          <w:rFonts w:ascii="Arial" w:cs="Arial" w:eastAsia="Arial" w:hAnsi="Arial"/>
          <w:sz w:val="18"/>
          <w:szCs w:val="18"/>
          <w:color w:val="auto"/>
        </w:rPr>
        <w:t>Svai Sanford</w:t>
      </w:r>
    </w:p>
    <w:p>
      <w:pPr>
        <w:jc w:val="center"/>
        <w:ind w:left="41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4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64" w:lineRule="exact"/>
        <w:rPr>
          <w:sz w:val="20"/>
          <w:szCs w:val="20"/>
          <w:color w:val="auto"/>
        </w:rPr>
      </w:pPr>
    </w:p>
    <w:p>
      <w:pPr>
        <w:ind w:left="760" w:hanging="752"/>
        <w:spacing w:after="0" w:line="261" w:lineRule="auto"/>
        <w:tabs>
          <w:tab w:leader="none" w:pos="7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760" w:hanging="752"/>
        <w:spacing w:after="0" w:line="261" w:lineRule="auto"/>
        <w:tabs>
          <w:tab w:leader="none" w:pos="7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11th day of May,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20" w:type="dxa"/>
            <w:vAlign w:val="bottom"/>
          </w:tcPr>
          <w:p>
            <w:pPr>
              <w:spacing w:after="0"/>
              <w:rPr>
                <w:sz w:val="20"/>
                <w:szCs w:val="20"/>
                <w:color w:val="auto"/>
              </w:rPr>
            </w:pPr>
            <w:r>
              <w:rPr>
                <w:rFonts w:ascii="Arial" w:cs="Arial" w:eastAsia="Arial" w:hAnsi="Arial"/>
                <w:sz w:val="18"/>
                <w:szCs w:val="18"/>
                <w:color w:val="auto"/>
              </w:rPr>
              <w:t>/s/ Talat Imran</w:t>
            </w:r>
          </w:p>
        </w:tc>
        <w:tc>
          <w:tcPr>
            <w:tcW w:w="10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 Svai Sanford</w:t>
            </w:r>
          </w:p>
        </w:tc>
      </w:tr>
      <w:tr>
        <w:trPr>
          <w:trHeight w:val="175"/>
        </w:trPr>
        <w:tc>
          <w:tcPr>
            <w:tcW w:w="25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Talat Imran</w:t>
            </w:r>
          </w:p>
        </w:tc>
        <w:tc>
          <w:tcPr>
            <w:tcW w:w="1080" w:type="dxa"/>
            <w:vAlign w:val="bottom"/>
          </w:tcPr>
          <w:p>
            <w:pPr>
              <w:spacing w:after="0"/>
              <w:rPr>
                <w:sz w:val="15"/>
                <w:szCs w:val="15"/>
                <w:color w:val="auto"/>
              </w:rPr>
            </w:pPr>
          </w:p>
        </w:tc>
        <w:tc>
          <w:tcPr>
            <w:tcW w:w="3240" w:type="dxa"/>
            <w:vAlign w:val="bottom"/>
            <w:tcBorders>
              <w:top w:val="single" w:sz="8" w:color="auto"/>
            </w:tcBorders>
          </w:tcPr>
          <w:p>
            <w:pPr>
              <w:ind w:left="720"/>
              <w:spacing w:after="0" w:line="176" w:lineRule="exact"/>
              <w:rPr>
                <w:sz w:val="20"/>
                <w:szCs w:val="20"/>
                <w:color w:val="auto"/>
              </w:rPr>
            </w:pPr>
            <w:r>
              <w:rPr>
                <w:rFonts w:ascii="Arial" w:cs="Arial" w:eastAsia="Arial" w:hAnsi="Arial"/>
                <w:sz w:val="18"/>
                <w:szCs w:val="18"/>
                <w:color w:val="auto"/>
              </w:rPr>
              <w:t>Svai Sanford</w:t>
            </w:r>
          </w:p>
        </w:tc>
        <w:tc>
          <w:tcPr>
            <w:tcW w:w="400" w:type="dxa"/>
            <w:vAlign w:val="bottom"/>
          </w:tcPr>
          <w:p>
            <w:pPr>
              <w:spacing w:after="0"/>
              <w:rPr>
                <w:sz w:val="15"/>
                <w:szCs w:val="15"/>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1080" w:type="dxa"/>
            <w:vAlign w:val="bottom"/>
          </w:tcPr>
          <w:p>
            <w:pPr>
              <w:spacing w:after="0"/>
              <w:rPr>
                <w:sz w:val="17"/>
                <w:szCs w:val="17"/>
                <w:color w:val="auto"/>
              </w:rPr>
            </w:pPr>
          </w:p>
        </w:tc>
        <w:tc>
          <w:tcPr>
            <w:tcW w:w="3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2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08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18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lvl w:ilvl="1">
      <w:lvlJc w:val="left"/>
      <w:lvlText w:val="(%2)"/>
      <w:numFmt w:val="lowerLetter"/>
      <w:start w:val="1"/>
    </w:lvl>
  </w:abstractNum>
  <w:abstractNum w:abstractNumId="14">
    <w:nsid w:val="519B500D"/>
    <w:multiLevelType w:val="hybridMultilevel"/>
    <w:lvl w:ilvl="0">
      <w:lvlJc w:val="left"/>
      <w:lvlText w:val="%1."/>
      <w:numFmt w:val="decimal"/>
      <w:start w:val="2"/>
    </w:lvl>
    <w:lvl w:ilvl="1">
      <w:lvlJc w:val="left"/>
      <w:lvlText w:val="(%2)"/>
      <w:numFmt w:val="lowerLetter"/>
      <w:start w:val="1"/>
    </w:lvl>
  </w:abstractNum>
  <w:abstractNum w:abstractNumId="15">
    <w:nsid w:val="431BD7B7"/>
    <w:multiLevelType w:val="hybridMultilevel"/>
    <w:lvl w:ilvl="0">
      <w:lvlJc w:val="left"/>
      <w:lvlText w:val="%1."/>
      <w:numFmt w:val="decimal"/>
      <w:start w:val="6"/>
    </w:lvl>
    <w:lvl w:ilvl="1">
      <w:lvlJc w:val="left"/>
      <w:lvlText w:val="(%2)"/>
      <w:numFmt w:val="lowerLetter"/>
      <w:start w:val="1"/>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62" Type="http://schemas.openxmlformats.org/officeDocument/2006/relationships/hyperlink" Target="https://www.sec.gov/Archives/edgar/data/1856725/000119312521223596/d151628dex31.htm" TargetMode="External"/><Relationship Id="rId163" Type="http://schemas.openxmlformats.org/officeDocument/2006/relationships/hyperlink" Target="https://www.sec.gov/Archives/edgar/data/1856725/000119312521211922/d151628dex34.htm" TargetMode="External"/><Relationship Id="rId164" Type="http://schemas.openxmlformats.org/officeDocument/2006/relationships/hyperlink" Target="https://www.sec.gov/Archives/edgar/data/1856725/000119312521223596/d151628dex41.htm" TargetMode="External"/><Relationship Id="rId165" Type="http://schemas.openxmlformats.org/officeDocument/2006/relationships/hyperlink" Target="https://www.sec.gov/Archives/edgar/data/1856725/000095017022005088/rani-ex4_2.htm" TargetMode="External"/><Relationship Id="rId166" Type="http://schemas.openxmlformats.org/officeDocument/2006/relationships/hyperlink" Target="https://www.sec.gov/Archives/edgar/data/1856725/000095017022005088/rani-ex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2022-05-11T15:23:12Z</dcterms:created>
  <dcterms:modified xsi:type="dcterms:W3CDTF">2022-05-11T15:23:12Z</dcterms:modified>
</cp:coreProperties>
</file>