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21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2188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Farquharson Andrew</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(Last)</w:t>
            </w:r>
          </w:p>
        </w:tc>
        <w:tc>
          <w:tcPr>
            <w:tcW w:w="1060" w:type="dxa"/>
            <w:vAlign w:val="bottom"/>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2051 RINGWOOD AVE</w:t>
            </w:r>
          </w:p>
        </w:tc>
        <w:tc>
          <w:tcPr>
            <w:tcW w:w="158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r>
      <w:tr>
        <w:trPr>
          <w:trHeight w:val="25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5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95131</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tcPr>
          <w:p>
            <w:pPr>
              <w:ind w:left="3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Rani Therapeutics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RANI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05/29/2024</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50,000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05/29/2024</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05/28/2034</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50,000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full on the first anniversary of the date of grant, subject to the recipient's Continuous Service (as defined in the Company's 2021 Equity Incentive Plan) through such vesting date; provided that, if earlier, the shares subject to the option will vest in full upon the occurrence of either of the following events: the Company's next annual stockholder meeting or a Change in Control (as defined in the Company's 2021 Equity Incentive Plan).</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Svai Sanford. Attorney-in-Fact  </w:t>
      </w:r>
      <w:r>
        <w:rPr>
          <w:rFonts w:ascii="Times New Roman" w:cs="Times New Roman" w:eastAsia="Times New Roman" w:hAnsi="Times New Roman"/>
          <w:sz w:val="32"/>
          <w:szCs w:val="32"/>
          <w:color w:val="0000FF"/>
          <w:vertAlign w:val="subscript"/>
        </w:rPr>
        <w:t>05/30/2024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1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Andrew Farquharson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0521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5219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65699"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2024-05-30T15:39:42Z</dcterms:created>
  <dcterms:modified xsi:type="dcterms:W3CDTF">2024-05-30T15:39:42Z</dcterms:modified>
</cp:coreProperties>
</file>