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As filed with the U.S. Securities and Exchange Commission on December 16, 2022</w:t>
      </w:r>
    </w:p>
    <w:p>
      <w:pPr>
        <w:spacing w:after="0" w:line="28" w:lineRule="exact"/>
        <w:rPr>
          <w:sz w:val="24"/>
          <w:szCs w:val="24"/>
          <w:color w:val="auto"/>
        </w:rPr>
      </w:pPr>
    </w:p>
    <w:p>
      <w:pPr>
        <w:ind w:left="918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auto"/>
        </w:rPr>
        <w:t>FORM S-3</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auto"/>
        </w:rPr>
        <w:t>REGISTRATION STATEMENT</w:t>
      </w:r>
    </w:p>
    <w:p>
      <w:pPr>
        <w:jc w:val="center"/>
        <w:ind w:right="-17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7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RANI THERAPEUTICS HOLDINGS, INC.</w:t>
      </w:r>
    </w:p>
    <w:p>
      <w:pPr>
        <w:spacing w:after="0" w:line="5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1960" w:type="dxa"/>
        <w:tblCellMar>
          <w:top w:w="0" w:type="dxa"/>
          <w:left w:w="0" w:type="dxa"/>
          <w:bottom w:w="0" w:type="dxa"/>
          <w:right w:w="0" w:type="dxa"/>
        </w:tblCellMar>
      </w:tblPr>
      <w:tr>
        <w:trPr>
          <w:trHeight w:val="194"/>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w w:val="98"/>
              </w:rPr>
              <w:t>86-3114789</w:t>
            </w:r>
          </w:p>
        </w:tc>
      </w:tr>
      <w:tr>
        <w:trPr>
          <w:trHeight w:val="148"/>
        </w:trPr>
        <w:tc>
          <w:tcPr>
            <w:tcW w:w="3840" w:type="dxa"/>
            <w:vAlign w:val="bottom"/>
          </w:tcPr>
          <w:p>
            <w:pPr>
              <w:jc w:val="center"/>
              <w:ind w:right="1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2051 Ringwood Avenue</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San Jose, California</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95131</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(408) 457-3700</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Eric Groen</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General Counsel</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Rani Therapeutics Holdings, Inc.</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2051 Ringwood Avenue</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San Jose, California 95131</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(408) 457-3700</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1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Josh Seidenfeld</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Mark B. Weeks</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John T. McKenna</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Cooley LLP</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3175 Hanover Street</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Palo Alto, California 94304</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170180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From time to time after the effective date of this Registration Statement</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(Approximate date of commencement of proposed sale to the public)</w:t>
      </w:r>
    </w:p>
    <w:p>
      <w:pPr>
        <w:spacing w:after="0" w:line="62"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53" w:lineRule="exact"/>
        <w:rPr>
          <w:sz w:val="24"/>
          <w:szCs w:val="24"/>
          <w:color w:val="auto"/>
        </w:rPr>
      </w:pPr>
    </w:p>
    <w:p>
      <w:pPr>
        <w:ind w:left="120" w:right="2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20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10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10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left="120" w:right="2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8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8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060"/>
          </w:cols>
          <w:pgMar w:left="320" w:top="226" w:right="519" w:bottom="0" w:gutter="0" w:footer="0" w:header="0"/>
        </w:sectPr>
      </w:pPr>
    </w:p>
    <w:bookmarkStart w:id="1" w:name="page2"/>
    <w:bookmarkEnd w:id="1"/>
    <w:p>
      <w:pPr>
        <w:ind w:right="42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138430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98425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12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spacing w:after="0" w:line="1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FF4338"/>
        </w:rPr>
        <w:t>PROSPECTUS (Subject to Completion) Dated December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1280160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6,009,542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367030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relates to the resale from time to time of up to 6,009,542 shares of our Class A common stock, or the shares, including 533,740 shares issuable upon exchange of Class A common units of Rani Therapeutics, LLC, or LLC Interests, which are held by the selling stockholders named in this prospectus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are not selling any Class A common stock under this prospectus and will not receive any of the proceeds from the sale of these shares by the selling stockholders.</w:t>
      </w:r>
    </w:p>
    <w:p>
      <w:pPr>
        <w:spacing w:after="0" w:line="328"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may sell the shares described in this prospectus in a number of different ways and at varying prices. We provide more information about how the selling stockholders may sell their shares in the section titled “Plan of Distribution” beginning on page 9 of this prospectus. The registration of the shares covered by this prospectus does not necessarily mean that any of the shares will be offered or sold by the selling stockholders. The timing and amount of any sale is within the selling stockholder’s sole discretion, subject to certain restrictions.</w:t>
      </w:r>
    </w:p>
    <w:p>
      <w:pPr>
        <w:spacing w:after="0" w:line="32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will bear all commissions and discounts, if any, attributable to the sale or disposition of the shares. We will bear all costs, expenses and fees in connection with the registration of the shares. We will not be paying any underwriting discounts or commissions in connection with the sale or disposition by the selling stockholders of the shares.</w:t>
      </w:r>
    </w:p>
    <w:p>
      <w:pPr>
        <w:spacing w:after="0" w:line="31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On December 15, 2022, the last reported sale price of our Class A common stock was $8.00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320040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right="2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Class A common stock involves a high degree of risk. You should review carefully the risks and uncertainties described under the section titled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3 of this prospectus and any similar section contained in any amendment or supplement to this prospectus, and under similar headings in the documents that are incorporated by reference into this prospectus.</w:t>
      </w:r>
    </w:p>
    <w:p>
      <w:pPr>
        <w:spacing w:after="0" w:line="329"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309880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16, 2022.</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798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30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60" w:type="dxa"/>
            <w:vAlign w:val="bottom"/>
            <w:gridSpan w:val="4"/>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900" w:type="dxa"/>
            <w:vAlign w:val="bottom"/>
            <w:gridSpan w:val="6"/>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7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7"/>
          </w:tcPr>
          <w:p>
            <w:pPr>
              <w:spacing w:after="0"/>
              <w:rPr>
                <w:sz w:val="17"/>
                <w:szCs w:val="17"/>
                <w:color w:val="auto"/>
              </w:rPr>
            </w:pPr>
          </w:p>
        </w:tc>
        <w:tc>
          <w:tcPr>
            <w:tcW w:w="2660" w:type="dxa"/>
            <w:vAlign w:val="bottom"/>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7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2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780" w:type="dxa"/>
            <w:vAlign w:val="bottom"/>
            <w:gridSpan w:val="5"/>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5940" w:type="dxa"/>
            <w:vAlign w:val="bottom"/>
            <w:gridSpan w:val="7"/>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7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7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4400" w:type="dxa"/>
            <w:vAlign w:val="bottom"/>
            <w:gridSpan w:val="9"/>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00" w:type="dxa"/>
            <w:vAlign w:val="bottom"/>
            <w:gridSpan w:val="2"/>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 “shelf” registration process under the Securities Act of 1933, as amended, or the Securities Act. Under this shelf registration process, certain selling stockholders may, from time to time, sell in one or more offerings the shares described in this prospectus.</w:t>
      </w:r>
    </w:p>
    <w:p>
      <w:pPr>
        <w:spacing w:after="0" w:line="176" w:lineRule="exact"/>
        <w:rPr>
          <w:sz w:val="20"/>
          <w:szCs w:val="20"/>
          <w:color w:val="auto"/>
        </w:rPr>
      </w:pPr>
    </w:p>
    <w:p>
      <w:pPr>
        <w:jc w:val="both"/>
        <w:ind w:left="120" w:firstLine="440"/>
        <w:spacing w:after="0" w:line="269" w:lineRule="auto"/>
        <w:rPr>
          <w:sz w:val="20"/>
          <w:szCs w:val="20"/>
          <w:color w:val="auto"/>
        </w:rPr>
      </w:pPr>
      <w:r>
        <w:rPr>
          <w:rFonts w:ascii="Times New Roman" w:cs="Times New Roman" w:eastAsia="Times New Roman" w:hAnsi="Times New Roman"/>
          <w:sz w:val="17"/>
          <w:szCs w:val="17"/>
          <w:color w:val="auto"/>
        </w:rPr>
        <w:t>Neither we nor the selling stockholders have authorized anyone to provide you with any information other than that contained or incorporated by reference in this prospectus and any prospectus supplement. You must not rely upon any information or representation not contained or incorporated by reference in this prospectus or any prospectus supplement. We take no responsibility for, and can provide no assurance as to the reliability of, any other information that others may give you. The shares are not being offered in any jurisdictions where it is unlawful to do so. No action is being taken in any jurisdiction outside the United States to permit a public offering of our securities or possession or distribution of this prospectus in that jurisdiction.</w:t>
      </w:r>
    </w:p>
    <w:p>
      <w:pPr>
        <w:spacing w:after="0" w:line="3"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81"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Throughout this prospectus, we refer to Rani Therapeutics Holdings, Inc. as “Rani Holdings”, and together with its subsidiaries, Rani Therapeutics, LLC and Rani Management Services, Inc., as applicable, as “us”, “our, “we” and the “Company.”</w:t>
      </w:r>
    </w:p>
    <w:p>
      <w:pPr>
        <w:spacing w:after="0" w:line="200" w:lineRule="exact"/>
        <w:rPr>
          <w:sz w:val="20"/>
          <w:szCs w:val="20"/>
          <w:color w:val="auto"/>
        </w:rPr>
      </w:pPr>
    </w:p>
    <w:p>
      <w:pPr>
        <w:spacing w:after="0" w:line="25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40"/>
          </w:cols>
          <w:pgMar w:left="320" w:top="455"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905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including the risks of investing in our Class A common stock discussed under the sections titled “Risk Factors” contained in this prospectus and any prospectus supplement,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w:t>
      </w:r>
    </w:p>
    <w:p>
      <w:pPr>
        <w:spacing w:after="0" w:line="176" w:lineRule="exact"/>
        <w:rPr>
          <w:sz w:val="20"/>
          <w:szCs w:val="20"/>
          <w:color w:val="auto"/>
        </w:rPr>
      </w:pPr>
    </w:p>
    <w:p>
      <w:pPr>
        <w:ind w:left="300" w:right="40" w:firstLine="426"/>
        <w:spacing w:after="0" w:line="236" w:lineRule="auto"/>
        <w:rPr>
          <w:sz w:val="20"/>
          <w:szCs w:val="20"/>
          <w:color w:val="auto"/>
        </w:rPr>
      </w:pPr>
      <w:r>
        <w:rPr>
          <w:rFonts w:ascii="Times New Roman" w:cs="Times New Roman" w:eastAsia="Times New Roman" w:hAnsi="Times New Roman"/>
          <w:sz w:val="18"/>
          <w:szCs w:val="18"/>
          <w:color w:val="auto"/>
        </w:rPr>
        <w:t>We are developing and clinically testing a drug-agnostic oral delivery platform, the RaniPill</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capsule, which is designed to deliver a wide variety of drug substances, including large molecules such as peptides, proteins, and antibodies. The current RaniPill capsule is designed to deliver up to a 3 mg dose of drug with high bioavailability. We are also developing a high-capacity version known as the RaniPill HC, which is in preclinical stage and which is intended to enable delivery of drug payloads up to 20 mg with high bioavailability. Our current RaniPill capsule is optimized to orally deliver a variety of therapeutics, and we are advancing development of the RaniPill HC to address biologics and drugs with higher dosing requirements.</w:t>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Rani Holdings was formed as a Delaware corporation in April 2021 for the purpose of facilitating an initial public offering, or the IPO, of its Class A common stock, to facilitate certain organizational transactions, and to operate the business of Rani Therapeutics, LLC, or Rani LLC, and its consolidated subsidiary Rani Management Services, Inc., or RMS. In connection with the IPO, we established a holding company structure with Rani Holdings as a holding company and its principal asset is the LLC Interests that it owns. As the sole managing member of Rani LLC, Rani Holdings operates and controls all of Rani LLC’s operations, and through Rani LLC and its subsidiary, conducts all of Rani LLC’s business.</w:t>
      </w:r>
    </w:p>
    <w:p>
      <w:pPr>
        <w:spacing w:after="0" w:line="183"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176"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2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5"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906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19069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“RANI”.</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The selling stockholders named in this prospectus may offer up to 6,009,542 shares of Class A common stock, including 533,740 shares issuable upon exchange of LLC Interests. The shares were acquired by the selling stockholders as described under the section titled “Selling Stockholders” beginning on page 7 of this prospectus. The selling stockholders will determine when and how they sell the shares offered in this prospectus, as described in the section titled “Plan of Distribution.” See “Selling Stockholders” for additional information regarding the selling stockholders.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40"/>
          </w:cols>
          <w:pgMar w:left="320" w:top="455" w:right="9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Investing in our Class A common stock involves a high degree of risk. Before deciding whether to invest in our Class A common stock, you should consider carefully the risks and uncertainties described under the section titled “Risk Factors” contained in our most recent Annual Report on Form</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i w:val="1"/>
          <w:iCs w:val="1"/>
          <w:color w:val="auto"/>
        </w:rPr>
        <w:t>10-K and in our most recent Quarterly Report on Form 10-Q, as well as any amendments thereto reflected in subsequent filings with the SEC, which are incorporated by reference into this prospectus in their entirety, together with other information in this prospectus and the documents incorporated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Class A common stock to decline, resulting in a loss of all or part of your investment. Please also read carefully the section below titled “Special Note Regarding Forward-Looking Statements.”</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and Section 21E of the Exchange Act. All statements other than statements of historical facts contained in this prospectus and the documents we have filed with the SEC that are incorporated by reference,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and the documents we have filed with the SEC that are incorporated by reference include, but are not limited to, statements about:</w:t>
      </w:r>
    </w:p>
    <w:p>
      <w:pPr>
        <w:spacing w:after="0" w:line="85"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capsule currently used for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partnerships and the expected potential benefits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by expanding our use of automation;</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novel formulations and new applications of the RaniPill capsule;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COVID-19 pandemic and the conflict between Ukraine and Russia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realization of any benefit from our organizational structure, taking into account our obligations under the tax receivable agreement, by and among us and certain holders of LLC Interests, and the impact of any payments required to be made thereunder on our liquidity and financial condition; and</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w:t>
      </w:r>
    </w:p>
    <w:p>
      <w:pPr>
        <w:spacing w:after="0" w:line="16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We discuss in greater detail many of these risks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You should read this prospectus, any prospectus supplement, together with the documents we have filed with the SEC that are incorporated by reference herein completely and with the understanding that our actual future results may be materially different from what we expect. We qualify all of the forward-looking statements in the foregoing documents by these cautionary statements.</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will not receive any of the proceeds from the sale or other disposition of the shares by the selling stockholders pursuant to this prospectus.</w:t>
      </w:r>
    </w:p>
    <w:p>
      <w:pPr>
        <w:spacing w:after="0" w:line="23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will bear the out-of-pocket costs, expenses and fees incurred in connection with the registration of the shares to be sold by the selling stockholders pursuant to this prospectus. Other than registration expenses, the selling stockholders will bear underwriting discounts, commissions, placement agent fees or other similar expenses payable with respect to sales of the shares.</w:t>
      </w:r>
    </w:p>
    <w:p>
      <w:pPr>
        <w:spacing w:after="0" w:line="1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80"/>
          </w:cols>
          <w:pgMar w:left="320" w:top="455" w:right="7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named in this prospectus may offer and sell up to 6,009,542 shares of our Class A common stock, which includes 5,475,802 shares of our outstanding Class A common stock and 533,740 shares of our Class A common stock issuable upon the exchange of outstanding LLC Interests.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 aggregate of 533,740 of the shares may be acquired by MedImmune, LLC, David Pyott and David Pyott Living Trust through the exchange of an equal number of LLC Interests that are currently held by such selling stockholders. These LLC Interests were acquired by such selling stockholders in July 2021, pursuant to the recapitalization of all outstanding common units and preferred units of Rani LLC into LLC Interests as a part of the organizational transactions we consummated in connection with the closing of our underwritten initial public offering. These LLC Interests may be exchanged for the shares of our Class A common stock on a one-for-one basis or, at our option, for cash.</w:t>
      </w:r>
    </w:p>
    <w:p>
      <w:pPr>
        <w:spacing w:after="0" w:line="183"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July 2021, 2,959,421 of the shares were issued to South Lake One LLC and 2,318,308 of the shares were issued to Aequanimitas Limited Partnership, each pursuant to the exchange of their LLC Interests for an equal number of shares of our Class A common stock in connection with the closing of our underwritten initial public offering.</w:t>
      </w:r>
    </w:p>
    <w:p>
      <w:pPr>
        <w:spacing w:after="0" w:line="176"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In November 2022, 74,029 of the shares were issued to ER Investment Group 1 LLC and 111,044 of the shares were issued to ERS Investments LLC, each pursuant to the exchange of their LLC Interests for an equal number of shares of our Class A common stock upon their election.</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December 2022, 13,000 of the shares were issued to Stephanie McGrory, our former employee, in connection with an employment matter.</w:t>
      </w:r>
    </w:p>
    <w:p>
      <w:pPr>
        <w:spacing w:after="0" w:line="225"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On August 3, 2021, we entered into a certain registration rights agreement, or the Registration Rights Agreement, with the selling stockholders, pursuant to which we agreed, subject to certain exceptions, to register the resale of all of the shares of our Class A common stock held by them at any time. We have agreed to provide the selling stockholders with customary indemnification in connection with the registration and resale of the selling stockholders’ shares of Class A common stock pursuant to the Registration Rights Agreement. We have agreed to bear all expenses incurred by us in effecting the registration. The registration statement of which this prospectus is a part has been filed in accordance with the Registration Rights Agreement.</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Except for the ownership of the shares covered by this prospectus, participation in our underwritten initial public offering, the entry into the Registration Rights Agreement, Mr. Pyott’s former service on the board of managers of Rani LLC and Ms. McGrory’s former employment, the selling stockholders have not had any material relationship with us or our affiliates within the past three years.</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table below, including the footnotes thereto, lists the selling stockholders and other information regarding the beneficial ownership of the shares held by each of the selling stockholders as of December 14, 2022 based on information provided to us by the selling stockholders.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after the offering assumes the sale of all of the shares offered by the selling stockholders pursuant to this prospectus. However, because the selling stockholders may sell all or some of their shares under this prospectus from time to time, or in another permitted manner, we cannot assure you as to the actual number of shares that will be sold by the selling stockholders or that will be held by the selling stockholders after completion of any sales. We do not know how long any of the selling stockholders will hold the shares before selling them. Information concerning the selling stockholders may change from time to time and changed information will be presented in a supplement to this prospectus if and when necessary and required. For purposes of table below, we have assumed that, after completion of the offering, none of the shares covered by this prospectus will be held by the selling stockholders.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selling stockholders may sell all, some or none of their shares in this offering. See “Plan of Distribution.”</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4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3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240" w:type="dxa"/>
            <w:vAlign w:val="bottom"/>
            <w:vMerge w:val="restart"/>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Sold</w:t>
            </w:r>
          </w:p>
        </w:tc>
        <w:tc>
          <w:tcPr>
            <w:tcW w:w="12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w:t>
            </w: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Pursuant</w:t>
            </w:r>
          </w:p>
        </w:tc>
        <w:tc>
          <w:tcPr>
            <w:tcW w:w="124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to this</w:t>
            </w:r>
          </w:p>
        </w:tc>
        <w:tc>
          <w:tcPr>
            <w:tcW w:w="19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73"/>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240" w:type="dxa"/>
            <w:vAlign w:val="bottom"/>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vMerge w:val="continue"/>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South Lake One LLC and affiliates</w:t>
            </w:r>
            <w:r>
              <w:rPr>
                <w:rFonts w:ascii="Times New Roman" w:cs="Times New Roman" w:eastAsia="Times New Roman" w:hAnsi="Times New Roman"/>
                <w:sz w:val="25"/>
                <w:szCs w:val="25"/>
                <w:color w:val="auto"/>
                <w:vertAlign w:val="superscript"/>
              </w:rPr>
              <w:t>(1)</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6,661,470</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2,959,421</w:t>
            </w:r>
          </w:p>
        </w:tc>
        <w:tc>
          <w:tcPr>
            <w:tcW w:w="1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3,702,049</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Aequanimitas Limited Partnership and affiliates</w:t>
            </w:r>
            <w:r>
              <w:rPr>
                <w:rFonts w:ascii="Times New Roman" w:cs="Times New Roman" w:eastAsia="Times New Roman" w:hAnsi="Times New Roman"/>
                <w:sz w:val="25"/>
                <w:szCs w:val="25"/>
                <w:color w:val="auto"/>
                <w:vertAlign w:val="superscript"/>
              </w:rPr>
              <w:t>(2)</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5,265,165</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2,318,308</w:t>
            </w:r>
          </w:p>
        </w:tc>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2,946,857</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ER Investment Group 1 LLC</w:t>
            </w:r>
            <w:r>
              <w:rPr>
                <w:rFonts w:ascii="Times New Roman" w:cs="Times New Roman" w:eastAsia="Times New Roman" w:hAnsi="Times New Roman"/>
                <w:sz w:val="25"/>
                <w:szCs w:val="25"/>
                <w:color w:val="auto"/>
                <w:vertAlign w:val="superscript"/>
              </w:rPr>
              <w:t>(3)</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74,029</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74,029</w:t>
            </w:r>
          </w:p>
        </w:tc>
        <w:tc>
          <w:tcPr>
            <w:tcW w:w="1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ERS Investments LLC</w:t>
            </w:r>
            <w:r>
              <w:rPr>
                <w:rFonts w:ascii="Times New Roman" w:cs="Times New Roman" w:eastAsia="Times New Roman" w:hAnsi="Times New Roman"/>
                <w:sz w:val="25"/>
                <w:szCs w:val="25"/>
                <w:color w:val="auto"/>
                <w:vertAlign w:val="superscript"/>
              </w:rPr>
              <w:t>(4)</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111,044</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111,044</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MedImmune, LLC</w:t>
            </w:r>
            <w:r>
              <w:rPr>
                <w:rFonts w:ascii="Times New Roman" w:cs="Times New Roman" w:eastAsia="Times New Roman" w:hAnsi="Times New Roman"/>
                <w:sz w:val="25"/>
                <w:szCs w:val="25"/>
                <w:color w:val="auto"/>
                <w:vertAlign w:val="superscript"/>
              </w:rPr>
              <w:t>(5)</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362,375</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362,375</w:t>
            </w:r>
          </w:p>
        </w:tc>
        <w:tc>
          <w:tcPr>
            <w:tcW w:w="1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Stephanie McGrory</w:t>
            </w:r>
            <w:r>
              <w:rPr>
                <w:rFonts w:ascii="Times New Roman" w:cs="Times New Roman" w:eastAsia="Times New Roman" w:hAnsi="Times New Roman"/>
                <w:sz w:val="25"/>
                <w:szCs w:val="25"/>
                <w:color w:val="auto"/>
                <w:vertAlign w:val="superscript"/>
              </w:rPr>
              <w:t>(6)</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13,000</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13,000</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David Pyott Living Trust and affiliates</w:t>
            </w:r>
            <w:r>
              <w:rPr>
                <w:rFonts w:ascii="Times New Roman" w:cs="Times New Roman" w:eastAsia="Times New Roman" w:hAnsi="Times New Roman"/>
                <w:sz w:val="25"/>
                <w:szCs w:val="25"/>
                <w:color w:val="auto"/>
                <w:vertAlign w:val="superscript"/>
              </w:rPr>
              <w:t>(7)</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171,365</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171,365</w:t>
            </w:r>
          </w:p>
        </w:tc>
        <w:tc>
          <w:tcPr>
            <w:tcW w:w="1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All selling stockholders</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12,658,448</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6,009,542</w:t>
            </w:r>
          </w:p>
        </w:tc>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6,648,906</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shares of our Class A common stock.</w:t>
      </w:r>
    </w:p>
    <w:p>
      <w:pPr>
        <w:spacing w:after="0" w:line="27" w:lineRule="exact"/>
        <w:rPr>
          <w:sz w:val="20"/>
          <w:szCs w:val="20"/>
          <w:color w:val="auto"/>
        </w:rPr>
      </w:pPr>
    </w:p>
    <w:p>
      <w:pPr>
        <w:ind w:left="54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offering represents shares held by South Lake One LLC (“South Lake One”). South Lake Management LLC (“South Lake Management”) is controlled and managed by the Class A and Class B members of its board of managers whereby no member of the board of managers has direct or indirect control of South Lake Management, and no member of South Lake Management individually has the power to control South Lake Management or replace its board of managers. South Lake Management directly controls South Cone Investments Limited Partnership (“South Cone”) as its general partner with the power to manage South Cone. South Cone directly owns 100% of the issued and outstanding membership interest of South Lake One. South Lake One is managed by the Class A and Class B members of its board of managers whereby no member of the board of managers has direct or indirect control of South Lake One. South Cone, as the sole member of South Lake One, has the power to control South Lake One and replace its board of managers. The address of these entities is 5711 Avenida Presidente Riesco, Office No. 1603, Las Condes, Santiago, Chile.</w:t>
      </w:r>
    </w:p>
    <w:p>
      <w:pPr>
        <w:spacing w:after="0" w:line="3"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offering represents shares held by Aequanimitas Limited Partnership, which has a general partner, Aequanimitas Management LLC, whose sole and controlling member is Isidoro Alfonso Quiroga Cortés. The address of these entities is 1830 Leonel Aguirre, Apt No. 101, Montevideo, Uruguay.</w:t>
      </w:r>
    </w:p>
    <w:p>
      <w:pPr>
        <w:spacing w:after="0" w:line="1" w:lineRule="exact"/>
        <w:rPr>
          <w:rFonts w:ascii="Times New Roman" w:cs="Times New Roman" w:eastAsia="Times New Roman" w:hAnsi="Times New Roman"/>
          <w:sz w:val="18"/>
          <w:szCs w:val="18"/>
          <w:color w:val="auto"/>
        </w:rPr>
      </w:pPr>
    </w:p>
    <w:p>
      <w:pPr>
        <w:ind w:left="540" w:right="40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offering represents shares held by ER Investment Group 1 LLC, which is controlled and managed by Elie Rieder, as the managing member. The address of this entity is 1 Executive Boulevard, Suite 204, Suffern, New York 10901.</w:t>
      </w:r>
    </w:p>
    <w:p>
      <w:pPr>
        <w:ind w:left="540" w:right="10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offering represents shares held by ERS Investments LLC, which is controlled and managed by Elie Rieder, as the managing member. The address of this entity is 1 Executive Boulevard, Suite 204, Suffern, New York 10901.</w:t>
      </w:r>
    </w:p>
    <w:p>
      <w:pPr>
        <w:ind w:left="540" w:right="16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offering represents shares issuable upon exchange of LLC Interests held by MedImmune LLC. MedImmune, LLC is a limited liability company and a wholly owned subsidiary of the AstraZeneca PLC. The address of this entity is 1 MedImmune Way, Gaithersburg, Maryland 20878.</w:t>
      </w:r>
    </w:p>
    <w:p>
      <w:pPr>
        <w:spacing w:after="0" w:line="1" w:lineRule="exact"/>
        <w:rPr>
          <w:rFonts w:ascii="Times New Roman" w:cs="Times New Roman" w:eastAsia="Times New Roman" w:hAnsi="Times New Roman"/>
          <w:sz w:val="18"/>
          <w:szCs w:val="18"/>
          <w:color w:val="auto"/>
        </w:rPr>
      </w:pPr>
    </w:p>
    <w:p>
      <w:pPr>
        <w:ind w:left="540" w:right="44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offering represents shares held by Stephanie McGrory. The address of Ms. McGrory is 199 Camino a los Cerros, Menlo Park, California 94025.</w:t>
      </w:r>
    </w:p>
    <w:p>
      <w:pPr>
        <w:ind w:left="540" w:right="100" w:hanging="424"/>
        <w:spacing w:after="0" w:line="255"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offering represents shares issuable upon exchange of 32,060 LLC Interests held by David Pyott and 139,305 LLC Interests held by David Pyott Living Trust. David Pyott is the trustee of David Pyott Living Trust. The address of these stockholders is P.O. Box 9410, Avon, Colorado 81620.</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selling stockholders, which term as used herein includes donees, pledgees, transferees or other successors-in-interest selling the shares offered by this prospectus or interests in shares offered by this prospectus received after the date of this prospectus from a selling stockholder as a gift, pledge, partnership distribution or other transfer, may, from time to time, sell, transfer or otherwise dispose of any or all of their shares on any stock exchange, market or trading facility on which the respective shares are traded or in private transactions. These dispositions may be at fixed prices, at prevailing market prices at the time of sale, at prices related to the prevailing market price, at varying prices determined at the time of sale, or at negotiated prices. The selling stockholders may use any one or more of the following methods when disposing of shares offered by this prospectus or interests therein:</w:t>
      </w:r>
    </w:p>
    <w:p>
      <w:pPr>
        <w:spacing w:after="0" w:line="78"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the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of these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owned by them and, if they default in the performance of their secured obligations, the pledgees or secured parties may offer and sell the shares,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in other circumstances, in which case the transferees, pledgees or other successors in interest will be the selling beneficial owners for purposes of this prospectus.</w:t>
      </w:r>
    </w:p>
    <w:p>
      <w:pPr>
        <w:spacing w:after="0" w:line="18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shares or interests therein, the selling stockholders may enter into hedging transactions with broker-dealers or other financial institutions, which may in turn engage in short sales of the shares in the course of hedging the positions they assume. The selling stockholders may also sell shares short and deliver these shares to close out their short positions, or loan or pledge the shares to broker-dealers that in turn may sell these shares. The selling stockholders may also enter into option or other transactions with broker-dealers or other financial institutions or the creation of one or more derivative securities which require the delivery to the broker-dealer or other financial institution of shares offered by this prospectus, which securities the broker-dealer or other financial institution may resell pursuant to this prospectus (as supplemented to reflect the transaction).</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shares offered by them will be the purchase price of the shares less discounts or commissions, if any. Each of the selling stockholders reserves the right to accept and, together with their agents from time to time, to reject, in whole or in part, any proposed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purchase of shares to be made directly or through agents. We will not receive any of the proceeds from the sale of any shares by the selling stockholders.</w:t>
      </w:r>
    </w:p>
    <w:p>
      <w:pPr>
        <w:spacing w:after="0" w:line="23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 Once sold under the registration statement of which this prospectus forms a part, the shares will be freely tradable in the hands of persons other than our affiliates.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shares or interests therein may be “underwriters” within the meaning of Section 2(11) of the Securities Act. Any discounts, commissions, concessions or profit they earn on any resale of the shares or interests therein may be underwriting discounts and commissions under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the extent required, the Class A common stock to be sold, the names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shares may be sold in these jurisdictions only through registered or licensed brokers or dealers. In addition, in some states the shares may not be sold unless they have been registered or qualified for sale or an exemption from registration or qualification requirements is available and is complied with.</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Securities Exchange Act of 1934, as amended, may apply to sales of shares in the market and to the activities of the selling stockholders and their affiliates. These rules may limit the timing of purchases and sales of the shares by the selling stockholders. Regulation M may also restrict the ability of any person engaged in the distribution of the shares to engage in market-making activities with respect to the shares. All of the foregoing may affect the marketability of the shares and the ability of any person or entity to engage in market-making activities with respect to the shares.</w:t>
      </w:r>
    </w:p>
    <w:p>
      <w:pPr>
        <w:spacing w:after="0" w:line="183"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 We may be indemnified by the selling stockholders against liabilities, including liabilities under the Securities Act, that may arise from any written information furnished to us by the selling stockholder specifically for use in this prospectus, in accordance with the Registration Rights Agreement, or we may be entitled to contribution.</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agreed with the selling stockholders to use commercially reasonable efforts to cause the registration statement of which this prospectus constitutes a part to become effective and to remain continuously effective for a period of up to two years, if necessary, to keep the registration statement effective until all of the shares are sold, or, if earlier, until the distribution contemplated in the registration statement has been complete.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shares registered pursuant to the registration statement, of which this prospectus forms a part.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Cooley LLP, Palo Alto, California will pass upon the validity of the shares offered by this prospectus.</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http://www.ranitherapeutics.com. Information contained on or accessible through our website is not a part of this prospectus and is not incorporated by reference herein, and the inclusion of our website address in this prospectus is an inactive textual reference only.</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001-40672):</w:t>
      </w:r>
    </w:p>
    <w:p>
      <w:pPr>
        <w:spacing w:after="0" w:line="93"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31, 2022;</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our Annual Report on Form 10-K for the year ended December 31, 2021, from our </w:t>
      </w:r>
      <w:hyperlink r:id="rId43">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our 2022 annual meeting of stockholders, filed with the SEC on April 13, 2022;</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March 31, 2022, June 30, 2022 and September 30, 2022 filed with the SEC on </w:t>
      </w:r>
      <w:hyperlink r:id="rId44">
        <w:r>
          <w:rPr>
            <w:rFonts w:ascii="Times New Roman" w:cs="Times New Roman" w:eastAsia="Times New Roman" w:hAnsi="Times New Roman"/>
            <w:sz w:val="18"/>
            <w:szCs w:val="18"/>
            <w:u w:val="single" w:color="auto"/>
            <w:color w:val="0000EE"/>
          </w:rPr>
          <w:t>May 11, 2022</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August 10,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6">
        <w:r>
          <w:rPr>
            <w:rFonts w:ascii="Times New Roman" w:cs="Times New Roman" w:eastAsia="Times New Roman" w:hAnsi="Times New Roman"/>
            <w:sz w:val="18"/>
            <w:szCs w:val="18"/>
            <w:u w:val="single" w:color="auto"/>
            <w:color w:val="0000EE"/>
          </w:rPr>
          <w:t>November 10,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respectively;</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
        </w:numPr>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5, 2022, March 23,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26, 2022, August 8, 2022, August 25,</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 xml:space="preserve">2022, </w:t>
        </w:r>
      </w:hyperlink>
      <w:hyperlink r:id="rId48">
        <w:r>
          <w:rPr>
            <w:rFonts w:ascii="Times New Roman" w:cs="Times New Roman" w:eastAsia="Times New Roman" w:hAnsi="Times New Roman"/>
            <w:sz w:val="18"/>
            <w:szCs w:val="18"/>
            <w:u w:val="single" w:color="auto"/>
            <w:color w:val="0000EE"/>
          </w:rPr>
          <w:t xml:space="preserve">October 24, 2022 </w:t>
        </w:r>
      </w:hyperlink>
      <w:hyperlink r:id="rId47">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9">
        <w:r>
          <w:rPr>
            <w:rFonts w:ascii="Times New Roman" w:cs="Times New Roman" w:eastAsia="Times New Roman" w:hAnsi="Times New Roman"/>
            <w:sz w:val="18"/>
            <w:szCs w:val="18"/>
            <w:u w:val="single" w:color="auto"/>
            <w:color w:val="0000EE"/>
          </w:rPr>
          <w:t>December 6, 2022</w:t>
        </w:r>
      </w:hyperlink>
      <w:hyperlink r:id="rId47">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4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which is registered under the Exchange Act in the registration statement on </w:t>
      </w:r>
      <w:hyperlink r:id="rId50">
        <w:r>
          <w:rPr>
            <w:rFonts w:ascii="Times New Roman" w:cs="Times New Roman" w:eastAsia="Times New Roman" w:hAnsi="Times New Roman"/>
            <w:sz w:val="18"/>
            <w:szCs w:val="18"/>
            <w:u w:val="single" w:color="auto"/>
            <w:color w:val="0000EE"/>
          </w:rPr>
          <w:t>Form 8-A12B</w:t>
        </w:r>
      </w:hyperlink>
      <w:r>
        <w:rPr>
          <w:rFonts w:ascii="Times New Roman" w:cs="Times New Roman" w:eastAsia="Times New Roman" w:hAnsi="Times New Roman"/>
          <w:sz w:val="18"/>
          <w:szCs w:val="18"/>
          <w:color w:val="auto"/>
        </w:rPr>
        <w:t xml:space="preserve">, filed with the SEC on July 26, 2021, including any amendments or reports filed for the purposes of updating this description, including any amendment or report filed for the purpose of updating such description, including </w:t>
      </w:r>
      <w:hyperlink r:id="rId51">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Quarterly Report on Form 10-Q for the quarter ended June 30, 2022.</w:t>
      </w:r>
    </w:p>
    <w:p>
      <w:pPr>
        <w:spacing w:after="0" w:line="180" w:lineRule="exact"/>
        <w:rPr>
          <w:rFonts w:ascii="Times New Roman" w:cs="Times New Roman" w:eastAsia="Times New Roman" w:hAnsi="Times New Roman"/>
          <w:sz w:val="18"/>
          <w:szCs w:val="18"/>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Class A common stock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457-3700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an estimate of the fees and expenses payable by us in connection with the offering of the Class A common stock being registered.</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Financial Industry Regulatory Authority filing fee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25,000*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50,000*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miscellaneous fees and expenses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 selling stockholders</w:t>
            </w: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18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85,313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w:t>
      </w:r>
    </w:p>
    <w:p>
      <w:pPr>
        <w:spacing w:after="0" w:line="27"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fee is calculated based on the securities offered and the number of issuances and accordingly cannot be estimated at this time.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provides for the indemnification of the registrant’s directors and officers to the fullest extent permitted under the DGCL. In addition, the amended and restated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90" w:lineRule="exact"/>
        <w:rPr>
          <w:sz w:val="20"/>
          <w:szCs w:val="20"/>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amended and restated certificate of incorporation provides that the registrant’s directors shall not be personally liable to it or its stockholders for monetary damages for breach of fiduciary duty as a director to the fullest extent permitted under applicable law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7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liable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permitted by the DGCL, the registrant has entered into separate indemnification agreements with each of the registrant’s directors and certain of the registrant’s officers which requires the registrant, among other things, to indemnify them against certain liabilities which may arise by reason of their status as directors, officers, or certain other employees.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registrant maintains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760" w:type="dxa"/>
            <w:vAlign w:val="bottom"/>
            <w:vMerge w:val="continue"/>
          </w:tcPr>
          <w:p>
            <w:pPr>
              <w:spacing w:after="0"/>
              <w:rPr>
                <w:sz w:val="11"/>
                <w:szCs w:val="11"/>
                <w:color w:val="auto"/>
              </w:rPr>
            </w:pPr>
          </w:p>
        </w:tc>
        <w:tc>
          <w:tcPr>
            <w:tcW w:w="580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SEC File</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700" w:type="dxa"/>
            <w:vAlign w:val="bottom"/>
          </w:tcPr>
          <w:p>
            <w:pPr>
              <w:jc w:val="center"/>
              <w:ind w:left="15"/>
              <w:spacing w:after="0" w:line="129"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57"/>
        </w:trPr>
        <w:tc>
          <w:tcPr>
            <w:tcW w:w="760" w:type="dxa"/>
            <w:vAlign w:val="bottom"/>
          </w:tcPr>
          <w:p>
            <w:pPr>
              <w:jc w:val="right"/>
              <w:ind w:right="173"/>
              <w:spacing w:after="0" w:line="157"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5800" w:type="dxa"/>
            <w:vAlign w:val="bottom"/>
            <w:gridSpan w:val="10"/>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68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700" w:type="dxa"/>
            <w:vAlign w:val="bottom"/>
          </w:tcPr>
          <w:p>
            <w:pPr>
              <w:jc w:val="center"/>
              <w:ind w:left="15"/>
              <w:spacing w:after="0" w:line="157" w:lineRule="exact"/>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94"/>
        </w:trPr>
        <w:tc>
          <w:tcPr>
            <w:tcW w:w="760" w:type="dxa"/>
            <w:vAlign w:val="bottom"/>
          </w:tcPr>
          <w:p>
            <w:pPr>
              <w:jc w:val="right"/>
              <w:ind w:right="173"/>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5800" w:type="dxa"/>
            <w:vAlign w:val="bottom"/>
            <w:gridSpan w:val="10"/>
          </w:tcPr>
          <w:p>
            <w:pPr>
              <w:spacing w:after="0" w:line="194"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Amended and Restated Certificate of Incorporation of the Registrant</w:t>
              </w:r>
            </w:hyperlink>
          </w:p>
        </w:tc>
        <w:tc>
          <w:tcPr>
            <w:tcW w:w="62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333-257809</w:t>
            </w:r>
          </w:p>
        </w:tc>
        <w:tc>
          <w:tcPr>
            <w:tcW w:w="6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3.1</w:t>
            </w:r>
          </w:p>
        </w:tc>
        <w:tc>
          <w:tcPr>
            <w:tcW w:w="13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July 26, 2021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0" w:type="dxa"/>
            <w:vAlign w:val="bottom"/>
          </w:tcPr>
          <w:p>
            <w:pPr>
              <w:jc w:val="right"/>
              <w:ind w:right="173"/>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94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Amended and Restated Bylaws of the Registrant</w:t>
              </w:r>
            </w:hyperlink>
          </w:p>
        </w:tc>
        <w:tc>
          <w:tcPr>
            <w:tcW w:w="860" w:type="dxa"/>
            <w:vAlign w:val="bottom"/>
            <w:gridSpan w:val="2"/>
          </w:tcPr>
          <w:p>
            <w:pPr>
              <w:spacing w:after="0"/>
              <w:rPr>
                <w:sz w:val="17"/>
                <w:szCs w:val="17"/>
                <w:color w:val="auto"/>
              </w:rPr>
            </w:pPr>
          </w:p>
        </w:tc>
        <w:tc>
          <w:tcPr>
            <w:tcW w:w="6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333-257809</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July 9, 2021</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4.1</w:t>
            </w:r>
          </w:p>
        </w:tc>
        <w:tc>
          <w:tcPr>
            <w:tcW w:w="35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Reference is made to Exhibits 3.1 through 3.2</w:t>
            </w:r>
          </w:p>
        </w:tc>
        <w:tc>
          <w:tcPr>
            <w:tcW w:w="2300" w:type="dxa"/>
            <w:vAlign w:val="bottom"/>
            <w:gridSpan w:val="7"/>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60" w:type="dxa"/>
            <w:vAlign w:val="bottom"/>
          </w:tcPr>
          <w:p>
            <w:pPr>
              <w:jc w:val="right"/>
              <w:ind w:right="173"/>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5800" w:type="dxa"/>
            <w:vAlign w:val="bottom"/>
            <w:gridSpan w:val="10"/>
          </w:tcPr>
          <w:p>
            <w:pPr>
              <w:spacing w:after="0" w:line="194"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Specimen Class A common stock certificate of the Registrant</w:t>
              </w:r>
            </w:hyperlink>
          </w:p>
        </w:tc>
        <w:tc>
          <w:tcPr>
            <w:tcW w:w="62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333-257809</w:t>
            </w:r>
          </w:p>
        </w:tc>
        <w:tc>
          <w:tcPr>
            <w:tcW w:w="6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4.1</w:t>
            </w:r>
          </w:p>
        </w:tc>
        <w:tc>
          <w:tcPr>
            <w:tcW w:w="13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July 26, 2021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jc w:val="right"/>
              <w:ind w:right="173"/>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45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Registration Rights Agreement, effective as of August 3, 2021</w:t>
              </w:r>
            </w:hyperlink>
          </w:p>
        </w:tc>
        <w:tc>
          <w:tcPr>
            <w:tcW w:w="1300" w:type="dxa"/>
            <w:vAlign w:val="bottom"/>
            <w:gridSpan w:val="3"/>
          </w:tcPr>
          <w:p>
            <w:pPr>
              <w:spacing w:after="0"/>
              <w:rPr>
                <w:sz w:val="17"/>
                <w:szCs w:val="17"/>
                <w:color w:val="auto"/>
              </w:rPr>
            </w:pPr>
          </w:p>
        </w:tc>
        <w:tc>
          <w:tcPr>
            <w:tcW w:w="6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001-40672</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March 31, 2022</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jc w:val="right"/>
              <w:ind w:right="173"/>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7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Cooley LLP</w:t>
            </w:r>
          </w:p>
        </w:tc>
        <w:tc>
          <w:tcPr>
            <w:tcW w:w="408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jc w:val="center"/>
              <w:ind w:left="15"/>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760" w:type="dxa"/>
            <w:vAlign w:val="bottom"/>
          </w:tcPr>
          <w:p>
            <w:pPr>
              <w:jc w:val="right"/>
              <w:ind w:right="173"/>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5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jc w:val="center"/>
              <w:ind w:left="15"/>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760" w:type="dxa"/>
            <w:vAlign w:val="bottom"/>
          </w:tcPr>
          <w:p>
            <w:pPr>
              <w:jc w:val="right"/>
              <w:ind w:right="173"/>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35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Cooley LLP (included in Exhibit 5.1)</w:t>
            </w:r>
          </w:p>
        </w:tc>
        <w:tc>
          <w:tcPr>
            <w:tcW w:w="780" w:type="dxa"/>
            <w:vAlign w:val="bottom"/>
            <w:tcBorders>
              <w:top w:val="single" w:sz="8" w:color="0000EE"/>
            </w:tcBorders>
          </w:tcPr>
          <w:p>
            <w:pPr>
              <w:spacing w:after="0"/>
              <w:rPr>
                <w:sz w:val="17"/>
                <w:szCs w:val="17"/>
                <w:color w:val="auto"/>
              </w:rPr>
            </w:pPr>
          </w:p>
        </w:tc>
        <w:tc>
          <w:tcPr>
            <w:tcW w:w="148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jc w:val="center"/>
              <w:ind w:left="15"/>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760" w:type="dxa"/>
            <w:vAlign w:val="bottom"/>
          </w:tcPr>
          <w:p>
            <w:pPr>
              <w:jc w:val="right"/>
              <w:ind w:right="173"/>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5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Reference is made to the signature pages of this Form S-3</w:t>
            </w: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jc w:val="center"/>
              <w:ind w:left="15"/>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760" w:type="dxa"/>
            <w:vAlign w:val="bottom"/>
          </w:tcPr>
          <w:p>
            <w:pPr>
              <w:jc w:val="right"/>
              <w:ind w:right="173"/>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55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Filing Fee Table</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jc w:val="center"/>
              <w:ind w:left="15"/>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820" w:hanging="264"/>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6" w:lineRule="auto"/>
        <w:tabs>
          <w:tab w:leader="none" w:pos="137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42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(1)(i), (1)(ii) and (1)(iii) do not apply if the information required to be included in a post-effective amendment by those paragraphs is contained in reports filed with or furnished to the SEC by the registrant pursuant to Section 13 or 15(d) of the Exchange Act that are incorporated by reference in this registration statement, or is contained in a form of prospectus filed pursuant to Rule 424(b) that is part of this registration statement.</w:t>
      </w:r>
    </w:p>
    <w:p>
      <w:pPr>
        <w:spacing w:after="0" w:line="183"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120" w:right="640" w:firstLine="436"/>
        <w:spacing w:after="0" w:line="282"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2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ind w:left="120" w:right="40" w:firstLine="436"/>
        <w:spacing w:after="0" w:line="258"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Rule 424;</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87"/>
        <w:spacing w:after="0" w:line="282" w:lineRule="auto"/>
        <w:tabs>
          <w:tab w:leader="none" w:pos="137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20" w:right="540" w:firstLine="987"/>
        <w:spacing w:after="0" w:line="282" w:lineRule="auto"/>
        <w:tabs>
          <w:tab w:leader="none" w:pos="14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420" w:hanging="313"/>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300" w:firstLine="436"/>
        <w:spacing w:after="0" w:line="281" w:lineRule="auto"/>
        <w:tabs>
          <w:tab w:leader="none" w:pos="8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60"/>
          </w:cols>
          <w:pgMar w:left="320" w:top="455"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Jose, State of California, on December 16, 2022.</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Talat Imran</w:t>
      </w:r>
    </w:p>
    <w:p>
      <w:pPr>
        <w:spacing w:after="0" w:line="7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-127635</wp:posOffset>
            </wp:positionV>
            <wp:extent cx="2597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Talat Imran and Svai Sanford,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 under the Securities Act of 1933, as amended, and to file the same, with all exhibits thereto, and other documents in connection therewith, with the Securities and Exchange Commission, and generally to do all such things in their names and behalf in their capacities as officers and directors to enable Rani Therapeutics Holdings,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or her substitutes or substitute, may lawfully do or cause to be done by virtue hereof.</w:t>
      </w:r>
    </w:p>
    <w:p>
      <w:pPr>
        <w:spacing w:after="0" w:line="19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6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20" w:type="dxa"/>
            <w:vAlign w:val="bottom"/>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Talat Imran</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December 16, 2022</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Talat Imran</w:t>
            </w:r>
          </w:p>
        </w:tc>
        <w:tc>
          <w:tcPr>
            <w:tcW w:w="120" w:type="dxa"/>
            <w:vAlign w:val="bottom"/>
          </w:tcPr>
          <w:p>
            <w:pPr>
              <w:spacing w:after="0"/>
              <w:rPr>
                <w:sz w:val="19"/>
                <w:szCs w:val="19"/>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Svai Sanford</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December 16, 2022</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Svai Sanford</w:t>
            </w:r>
          </w:p>
        </w:tc>
        <w:tc>
          <w:tcPr>
            <w:tcW w:w="120" w:type="dxa"/>
            <w:vAlign w:val="bottom"/>
          </w:tcPr>
          <w:p>
            <w:pPr>
              <w:spacing w:after="0"/>
              <w:rPr>
                <w:sz w:val="19"/>
                <w:szCs w:val="19"/>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Mir Imran</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December 16, 2022</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Mir Imran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Dennis Ausiello</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December 16, 2022</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Dennis Ausiello</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 Baranowski</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December 16, 2022</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Lyn Baranowski</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0"/>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II-5</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6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20" w:type="dxa"/>
            <w:vAlign w:val="bottom"/>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5"/>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Jean-Luc Butel</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Jean-Luc Butel</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Laureen DeBuono</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Laureen DeBuono</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Farquharson</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Andrew Farquharson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Maulik Nanavaty</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Maulik Nanavaty</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Lisa Rometty</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Lisa Rometty</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0"/>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II-6</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 Seidenfeld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+1 650 843 5862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jseidenfeld@cooley.com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acted as counsel to Rani Therapeutics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Registration Statement on Form S-3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including a prospectus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Registration Statement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covering the resale of up to 6,009,542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Class A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of the Company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by the selling stockholders identified in such Registration Statement, consisting of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533,740 shares (the “</w:t>
      </w:r>
      <w:r>
        <w:rPr>
          <w:rFonts w:ascii="Times New Roman" w:cs="Times New Roman" w:eastAsia="Times New Roman" w:hAnsi="Times New Roman"/>
          <w:sz w:val="18"/>
          <w:szCs w:val="18"/>
          <w:b w:val="1"/>
          <w:bCs w:val="1"/>
          <w:i w:val="1"/>
          <w:iCs w:val="1"/>
          <w:color w:val="auto"/>
        </w:rPr>
        <w:t>Exchange Shares</w:t>
      </w:r>
      <w:r>
        <w:rPr>
          <w:rFonts w:ascii="Times New Roman" w:cs="Times New Roman" w:eastAsia="Times New Roman" w:hAnsi="Times New Roman"/>
          <w:sz w:val="18"/>
          <w:szCs w:val="18"/>
          <w:color w:val="auto"/>
        </w:rPr>
        <w:t>”) of Class A Common Stock issuable upon the exchange of outstanding Class A common units of Rani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Therapeutics, LLC (“</w:t>
      </w:r>
      <w:r>
        <w:rPr>
          <w:rFonts w:ascii="Times New Roman" w:cs="Times New Roman" w:eastAsia="Times New Roman" w:hAnsi="Times New Roman"/>
          <w:sz w:val="18"/>
          <w:szCs w:val="18"/>
          <w:b w:val="1"/>
          <w:bCs w:val="1"/>
          <w:i w:val="1"/>
          <w:iCs w:val="1"/>
          <w:color w:val="auto"/>
        </w:rPr>
        <w:t>Rani LLC</w:t>
      </w:r>
      <w:r>
        <w:rPr>
          <w:rFonts w:ascii="Times New Roman" w:cs="Times New Roman" w:eastAsia="Times New Roman" w:hAnsi="Times New Roman"/>
          <w:sz w:val="18"/>
          <w:szCs w:val="18"/>
          <w:color w:val="auto"/>
        </w:rPr>
        <w:t>”), combined with the cancellation of an equivalent number of shares of Class B common stock, par value $0.0001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the Company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in each case in accordance with the certificate of incorporation of the Company and the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agreement of Rani LLC and (ii) 5,475,802 shares (the “</w:t>
      </w:r>
      <w:r>
        <w:rPr>
          <w:rFonts w:ascii="Times New Roman" w:cs="Times New Roman" w:eastAsia="Times New Roman" w:hAnsi="Times New Roman"/>
          <w:sz w:val="18"/>
          <w:szCs w:val="18"/>
          <w:b w:val="1"/>
          <w:bCs w:val="1"/>
          <w:i w:val="1"/>
          <w:iCs w:val="1"/>
          <w:color w:val="auto"/>
        </w:rPr>
        <w:t>Outstanding Shares</w:t>
      </w:r>
      <w:r>
        <w:rPr>
          <w:rFonts w:ascii="Times New Roman" w:cs="Times New Roman" w:eastAsia="Times New Roman" w:hAnsi="Times New Roman"/>
          <w:sz w:val="18"/>
          <w:szCs w:val="18"/>
          <w:color w:val="auto"/>
        </w:rPr>
        <w:t>”) of currently outstanding Class A Common Stock.</w:t>
      </w:r>
    </w:p>
    <w:p>
      <w:pPr>
        <w:spacing w:after="0" w:line="20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the Prospectus, (b) the Company’s certificate of incorporation and bylaws, each as currently in effect and (c) originals or copies certified to our satisfaction of such opinions,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thereof, the accuracy, completeness and authenticity of certificates of public officials and the due authorization, execution and delivery of all documents by all persons other than the Company where due authorization, execution and delivery are prerequisites to the effectiveness thereof. As to certain factual matters, we have relied upon a certificate of an officer of the Company and have not independently verified such matters.</w:t>
      </w:r>
    </w:p>
    <w:p>
      <w:pPr>
        <w:spacing w:after="0" w:line="19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opinion herein is expressed solely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On the basis of the foregoing, and in reliance thereon, and subject to the qualifications set forth herein, we are of the opinion that the (i) Exchange Shares will be validly issued, fully paid and nonassessable when issued upon the exchange of outstanding Class A common units of Rani LLC, combined with the cancellation of an equivalent number of shares of Class B Common Stock, in each case in accordance with the certificate of incorporation of the Company and the limited liability company agreement of Rani LLC and (ii) the Outstanding Shares are validly issued, fully paid and nonassessable.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1020"/>
          </w:cols>
          <w:pgMar w:left="440" w:top="117"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Rani Therapeutics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opinion is limited to the matters stated herein and no opinion is implied or may be inferred beyond the matters expressly stated. Our opinion is based on these laws as in effect on the date hereof, and we disclaim any obligation to advise you of facts, circumstances, events or developments which hereafter may be brought to our attention and which may alter, affect or modify the opinion expressed herein.</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consent to the reference to our firm under the caption “Legal Matters” in the Prospectus included in the Registration Statement and to the filing of this opinion as an exhibit to the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OOLEY</w:t>
      </w:r>
      <w:r>
        <w:rPr>
          <w:rFonts w:ascii="Times New Roman" w:cs="Times New Roman" w:eastAsia="Times New Roman" w:hAnsi="Times New Roman"/>
          <w:sz w:val="18"/>
          <w:szCs w:val="18"/>
          <w:color w:val="auto"/>
        </w:rPr>
        <w:t xml:space="preserve">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Josh Seidenfeld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Josh Seidenfeld</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0900"/>
          </w:cols>
          <w:pgMar w:left="440" w:top="864" w:right="55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Rani Therapeutics Holdings, Inc. for the registration of 6,009,542 Shares of Class A Common Stock and to the incorporation by reference therein of our report dated March 30, 2022, with respect to the consolidated financial statements of Rani Therapeutics Holdings, Inc. included in its Annual Report (Form 10-K) for the year ended December 31, 2021,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ectPr>
          <w:pgSz w:w="11900" w:h="16838" w:orient="portrait"/>
          <w:cols w:equalWidth="0" w:num="1">
            <w:col w:w="11020"/>
          </w:cols>
          <w:pgMar w:left="440" w:top="117" w:right="4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894" w:type="dxa"/>
        <w:tblCellMar>
          <w:top w:w="0" w:type="dxa"/>
          <w:left w:w="0" w:type="dxa"/>
          <w:bottom w:w="0" w:type="dxa"/>
          <w:right w:w="0" w:type="dxa"/>
        </w:tblCellMar>
      </w:tblPr>
      <w:tr>
        <w:trPr>
          <w:trHeight w:val="144"/>
        </w:trPr>
        <w:tc>
          <w:tcPr>
            <w:tcW w:w="160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Fee</w:t>
            </w:r>
          </w:p>
        </w:tc>
        <w:tc>
          <w:tcPr>
            <w:tcW w:w="122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3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2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3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2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35"/>
        </w:trPr>
        <w:tc>
          <w:tcPr>
            <w:tcW w:w="16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12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65"/>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Class 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 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33"/>
        </w:trPr>
        <w:tc>
          <w:tcPr>
            <w:tcW w:w="160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1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par</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value</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vMerge w:val="continue"/>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$0.0001</w:t>
            </w:r>
          </w:p>
        </w:tc>
        <w:tc>
          <w:tcPr>
            <w:tcW w:w="7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6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457(c)</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6,009,542 (1)</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$8.0225 (2)</w:t>
            </w:r>
          </w:p>
        </w:tc>
        <w:tc>
          <w:tcPr>
            <w:tcW w:w="1380" w:type="dxa"/>
            <w:vAlign w:val="bottom"/>
            <w:tcBorders>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$48,211,551 (2)</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0.00011020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$5,313</w:t>
            </w:r>
          </w:p>
        </w:tc>
        <w:tc>
          <w:tcPr>
            <w:tcW w:w="0" w:type="dxa"/>
            <w:vAlign w:val="bottom"/>
          </w:tcPr>
          <w:p>
            <w:pPr>
              <w:spacing w:after="0"/>
              <w:rPr>
                <w:sz w:val="1"/>
                <w:szCs w:val="1"/>
                <w:color w:val="auto"/>
              </w:rPr>
            </w:pPr>
          </w:p>
        </w:tc>
      </w:tr>
      <w:tr>
        <w:trPr>
          <w:trHeight w:val="241"/>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2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right"/>
              <w:ind w:right="142"/>
              <w:spacing w:after="0"/>
              <w:rPr>
                <w:sz w:val="20"/>
                <w:szCs w:val="20"/>
                <w:color w:val="auto"/>
              </w:rPr>
            </w:pPr>
            <w:r>
              <w:rPr>
                <w:rFonts w:ascii="Times New Roman" w:cs="Times New Roman" w:eastAsia="Times New Roman" w:hAnsi="Times New Roman"/>
                <w:sz w:val="18"/>
                <w:szCs w:val="18"/>
                <w:color w:val="auto"/>
              </w:rPr>
              <w:t>$48,211,551</w:t>
            </w: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$5,313</w:t>
            </w:r>
          </w:p>
        </w:tc>
        <w:tc>
          <w:tcPr>
            <w:tcW w:w="0" w:type="dxa"/>
            <w:vAlign w:val="bottom"/>
          </w:tcPr>
          <w:p>
            <w:pPr>
              <w:spacing w:after="0"/>
              <w:rPr>
                <w:sz w:val="1"/>
                <w:szCs w:val="1"/>
                <w:color w:val="auto"/>
              </w:rPr>
            </w:pPr>
          </w:p>
        </w:tc>
      </w:tr>
      <w:tr>
        <w:trPr>
          <w:trHeight w:val="236"/>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Fees Previously Paid</w:t>
            </w:r>
          </w:p>
        </w:tc>
        <w:tc>
          <w:tcPr>
            <w:tcW w:w="12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2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gridSpan w:val="2"/>
          </w:tcPr>
          <w:p>
            <w:pPr>
              <w:jc w:val="center"/>
              <w:ind w:right="529"/>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2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$5,313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80" w:hanging="424"/>
        <w:spacing w:after="0" w:line="272" w:lineRule="auto"/>
        <w:tabs>
          <w:tab w:leader="none" w:pos="42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533,740 shares (the “Exchange Shares”) of Class A common stock, par value $0.0001 per share (“Class A common stock”), being offered by the selling stockholders identified in this prospectus and (ii) 5,475,802 shares of Class A common stock being offered by the selling stockholders identified in this prospectus. The Exchange Shares are issuable upon exchange of Class A common units of Rani Therapeutics, LLC.</w:t>
      </w:r>
    </w:p>
    <w:p>
      <w:pPr>
        <w:spacing w:after="0" w:line="1" w:lineRule="exact"/>
        <w:rPr>
          <w:rFonts w:ascii="Times New Roman" w:cs="Times New Roman" w:eastAsia="Times New Roman" w:hAnsi="Times New Roman"/>
          <w:sz w:val="17"/>
          <w:szCs w:val="17"/>
          <w:color w:val="auto"/>
        </w:rPr>
      </w:pPr>
    </w:p>
    <w:p>
      <w:pPr>
        <w:ind w:left="424" w:right="280" w:hanging="424"/>
        <w:spacing w:after="0" w:line="255"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457(c) under the Securities Act. The price per share and aggregate offering price are based on the average of the high and low prices of the Registrant’s common stock on December 14, 2022, as reported on the Nasdaq Stock Market.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408"/>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lvl w:ilvl="1">
      <w:lvlJc w:val="left"/>
      <w:lvlText w:val="(%2)"/>
      <w:numFmt w:val="lowerRoman"/>
      <w:start w:val="1"/>
    </w:lvl>
  </w:abstractNum>
  <w:abstractNum w:abstractNumId="10">
    <w:nsid w:val="3352255A"/>
    <w:multiLevelType w:val="hybridMultilevel"/>
    <w:lvl w:ilvl="0">
      <w:lvlJc w:val="left"/>
      <w:lvlText w:val="%1"/>
      <w:numFmt w:val="decimal"/>
      <w:start w:val="1"/>
    </w:lvl>
    <w:lvl w:ilvl="1">
      <w:lvlJc w:val="left"/>
      <w:lvlText w:val="(%2)"/>
      <w:numFmt w:val="lowerRoman"/>
      <w:start w:val="2"/>
    </w:lvl>
  </w:abstractNum>
  <w:abstractNum w:abstractNumId="11">
    <w:nsid w:val="109CF92E"/>
    <w:multiLevelType w:val="hybridMultilevel"/>
    <w:lvl w:ilvl="0">
      <w:lvlJc w:val="left"/>
      <w:lvlText w:val="(%1)"/>
      <w:numFmt w:val="decimal"/>
      <w:start w:val="2"/>
    </w:lvl>
    <w:lvl w:ilvl="1">
      <w:lvlJc w:val="left"/>
      <w:lvlText w:val="(%2)"/>
      <w:numFmt w:val="lowerRoman"/>
      <w:start w:val="1"/>
    </w:lvl>
  </w:abstractNum>
  <w:abstractNum w:abstractNumId="12">
    <w:nsid w:val="DED7263"/>
    <w:multiLevelType w:val="hybridMultilevel"/>
    <w:lvl w:ilvl="0">
      <w:lvlJc w:val="left"/>
      <w:lvlText w:val="(%1)"/>
      <w:numFmt w:val="lowerRoman"/>
      <w:start w:val="2"/>
    </w:lvl>
  </w:abstractNum>
  <w:abstractNum w:abstractNumId="13">
    <w:nsid w:val="7FDCC233"/>
    <w:multiLevelType w:val="hybridMultilevel"/>
    <w:lvl w:ilvl="0">
      <w:lvlJc w:val="left"/>
      <w:lvlText w:val="(%1)"/>
      <w:numFmt w:val="decimal"/>
      <w:start w:val="6"/>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42" Type="http://schemas.openxmlformats.org/officeDocument/2006/relationships/hyperlink" Target="http://www.sec.gov/Archives/edgar/data/1856725/000095017022005088/rani-20211231.htm" TargetMode="External"/><Relationship Id="rId43" Type="http://schemas.openxmlformats.org/officeDocument/2006/relationships/hyperlink" Target="http://www.sec.gov/Archives/edgar/data/1856725/000114036122014257/ny20001961x1_def14a.htm" TargetMode="External"/><Relationship Id="rId44" Type="http://schemas.openxmlformats.org/officeDocument/2006/relationships/hyperlink" Target="http://www.sec.gov/Archives/edgar/data/1856725/000095017022009334/rani-20220331.htm" TargetMode="External"/><Relationship Id="rId45" Type="http://schemas.openxmlformats.org/officeDocument/2006/relationships/hyperlink" Target="http://www.sec.gov/Archives/edgar/data/1856725/000095017022016492/rani-20220630.htm" TargetMode="External"/><Relationship Id="rId46" Type="http://schemas.openxmlformats.org/officeDocument/2006/relationships/hyperlink" Target="http://www.sec.gov/Archives/edgar/data/1856725/000095017022024442/rani-20220930.htm" TargetMode="External"/><Relationship Id="rId47" Type="http://schemas.openxmlformats.org/officeDocument/2006/relationships/hyperlink" Target="http://www.sec.gov/Archives/edgar/data/1856725/000119312522229280/d385381d8k.htm" TargetMode="External"/><Relationship Id="rId48" Type="http://schemas.openxmlformats.org/officeDocument/2006/relationships/hyperlink" Target="http://www.sec.gov/Archives/edgar/data/1856725/000119312522267186/d308091d8k.htm" TargetMode="External"/><Relationship Id="rId49" Type="http://schemas.openxmlformats.org/officeDocument/2006/relationships/hyperlink" Target="http://www.sec.gov/Archives/edgar/data/1856725/000095017022026089/rani-20221206.htm" TargetMode="External"/><Relationship Id="rId50" Type="http://schemas.openxmlformats.org/officeDocument/2006/relationships/hyperlink" Target="http://www.sec.gov/Archives/edgar/data/1856725/000119312521224394/d193678d8a12b.htm" TargetMode="External"/><Relationship Id="rId51" Type="http://schemas.openxmlformats.org/officeDocument/2006/relationships/hyperlink" Target="http://www.sec.gov/Archives/edgar/data/1856725/000095017022016492/rani-ex4_2.htm" TargetMode="External"/><Relationship Id="rId55" Type="http://schemas.openxmlformats.org/officeDocument/2006/relationships/hyperlink" Target="http://www.sec.gov/Archives/edgar/data/1856725/000119312521223596/d151628dex31.htm" TargetMode="External"/><Relationship Id="rId56" Type="http://schemas.openxmlformats.org/officeDocument/2006/relationships/hyperlink" Target="http://www.sec.gov/Archives/edgar/data/1856725/000119312521211922/d151628dex34.htm" TargetMode="External"/><Relationship Id="rId57" Type="http://schemas.openxmlformats.org/officeDocument/2006/relationships/hyperlink" Target="http://www.sec.gov/Archives/edgar/data/1856725/000119312521223596/d151628dex41.htm" TargetMode="External"/><Relationship Id="rId58" Type="http://schemas.openxmlformats.org/officeDocument/2006/relationships/hyperlink" Target="http://www.sec.gov/Archives/edgar/data/1856725/000095017022005088/rani-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2022-12-16T16:25:16Z</dcterms:created>
  <dcterms:modified xsi:type="dcterms:W3CDTF">2022-12-16T16:25:16Z</dcterms:modified>
</cp:coreProperties>
</file>