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South Cone Investments Limited</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20" w:type="dxa"/>
            <w:vAlign w:val="bottom"/>
            <w:tcBorders>
              <w:bottom w:val="single" w:sz="8" w:color="0000EE"/>
            </w:tcBorders>
            <w:gridSpan w:val="2"/>
          </w:tcPr>
          <w:p>
            <w:pPr>
              <w:spacing w:after="0" w:line="166"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Rani Therapeutics Holdings, Inc.</w:t>
              </w:r>
            </w:hyperlink>
          </w:p>
        </w:tc>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0000FF"/>
              </w:rPr>
              <w:t>RANI</w:t>
            </w:r>
            <w:r>
              <w:rPr>
                <w:rFonts w:ascii="Times New Roman" w:cs="Times New Roman" w:eastAsia="Times New Roman" w:hAnsi="Times New Roman"/>
                <w:sz w:val="21"/>
                <w:szCs w:val="21"/>
                <w:color w:val="auto"/>
              </w:rPr>
              <w:t xml:space="preserve"> ]</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20" w:type="dxa"/>
            <w:vAlign w:val="bottom"/>
            <w:gridSpan w:val="2"/>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980" w:type="dxa"/>
            <w:vAlign w:val="bottom"/>
            <w:tcBorders>
              <w:top w:val="single" w:sz="8" w:color="0000EE"/>
              <w:bottom w:val="single" w:sz="8" w:color="0000EE"/>
            </w:tcBorders>
          </w:tcPr>
          <w:p>
            <w:pPr>
              <w:spacing w:after="0" w:line="220"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Partnership</w:t>
              </w:r>
            </w:hyperlink>
          </w:p>
        </w:tc>
        <w:tc>
          <w:tcPr>
            <w:tcW w:w="1020" w:type="dxa"/>
            <w:vAlign w:val="bottom"/>
            <w:tcBorders>
              <w:top w:val="single" w:sz="8" w:color="0000EE"/>
            </w:tcBorders>
          </w:tcPr>
          <w:p>
            <w:pPr>
              <w:spacing w:after="0"/>
              <w:rPr>
                <w:sz w:val="19"/>
                <w:szCs w:val="19"/>
                <w:color w:val="auto"/>
              </w:rPr>
            </w:pPr>
          </w:p>
        </w:tc>
        <w:tc>
          <w:tcPr>
            <w:tcW w:w="820" w:type="dxa"/>
            <w:vAlign w:val="bottom"/>
            <w:tcBorders>
              <w:top w:val="single" w:sz="8" w:color="0000EE"/>
            </w:tcBorders>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80" w:type="dxa"/>
            <w:vAlign w:val="bottom"/>
            <w:gridSpan w:val="3"/>
            <w:vMerge w:val="restart"/>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80" w:type="dxa"/>
            <w:vAlign w:val="bottom"/>
            <w:gridSpan w:val="3"/>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4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440"/>
              <w:spacing w:after="0"/>
              <w:rPr>
                <w:sz w:val="20"/>
                <w:szCs w:val="20"/>
                <w:color w:val="auto"/>
              </w:rPr>
            </w:pPr>
            <w:r>
              <w:rPr>
                <w:rFonts w:ascii="Arial" w:cs="Arial" w:eastAsia="Arial" w:hAnsi="Arial"/>
                <w:sz w:val="13"/>
                <w:szCs w:val="13"/>
                <w:color w:val="auto"/>
              </w:rPr>
              <w:t>(Middle)</w:t>
            </w:r>
          </w:p>
        </w:tc>
        <w:tc>
          <w:tcPr>
            <w:tcW w:w="29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11/18/2022</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2"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AVENIDA PRESIDENTE RIESCO 5711</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80" w:type="dxa"/>
            <w:vAlign w:val="bottom"/>
            <w:tcBorders>
              <w:top w:val="single" w:sz="8" w:color="2C2C2C"/>
            </w:tcBorders>
            <w:gridSpan w:val="10"/>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420" w:type="dxa"/>
            <w:vAlign w:val="bottom"/>
            <w:tcBorders>
              <w:top w:val="single" w:sz="8" w:color="2C2C2C"/>
            </w:tcBorders>
          </w:tcPr>
          <w:p>
            <w:pPr>
              <w:spacing w:after="0"/>
              <w:rPr>
                <w:sz w:val="18"/>
                <w:szCs w:val="18"/>
                <w:color w:val="auto"/>
              </w:rPr>
            </w:pPr>
          </w:p>
        </w:tc>
        <w:tc>
          <w:tcPr>
            <w:tcW w:w="3220" w:type="dxa"/>
            <w:vAlign w:val="bottom"/>
            <w:tcBorders>
              <w:top w:val="single" w:sz="8" w:color="2C2C2C"/>
            </w:tcBorders>
            <w:gridSpan w:val="7"/>
          </w:tcPr>
          <w:p>
            <w:pPr>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gridSpan w:val="2"/>
          </w:tcPr>
          <w:p>
            <w:pPr>
              <w:spacing w:after="0" w:line="146" w:lineRule="exact"/>
              <w:rPr>
                <w:sz w:val="20"/>
                <w:szCs w:val="20"/>
                <w:color w:val="auto"/>
              </w:rPr>
            </w:pPr>
            <w:r>
              <w:rPr>
                <w:rFonts w:ascii="Arial" w:cs="Arial" w:eastAsia="Arial" w:hAnsi="Arial"/>
                <w:sz w:val="13"/>
                <w:szCs w:val="13"/>
                <w:color w:val="auto"/>
              </w:rPr>
              <w:t>Line)</w:t>
            </w: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SANTIAGO</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88"/>
              </w:rPr>
              <w:t>F3</w:t>
            </w:r>
          </w:p>
        </w:tc>
        <w:tc>
          <w:tcPr>
            <w:tcW w:w="900" w:type="dxa"/>
            <w:vAlign w:val="bottom"/>
          </w:tcPr>
          <w:p>
            <w:pPr>
              <w:spacing w:after="0"/>
              <w:rPr>
                <w:sz w:val="7"/>
                <w:szCs w:val="7"/>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7550000</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29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1160" w:type="dxa"/>
            <w:vAlign w:val="bottom"/>
            <w:gridSpan w:val="2"/>
          </w:tcPr>
          <w:p>
            <w:pPr>
              <w:ind w:left="16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gridSpan w:val="2"/>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tcPr>
          <w:p>
            <w:pPr>
              <w:spacing w:after="0"/>
              <w:rPr>
                <w:sz w:val="10"/>
                <w:szCs w:val="10"/>
                <w:color w:val="auto"/>
              </w:rPr>
            </w:pPr>
          </w:p>
        </w:tc>
        <w:tc>
          <w:tcPr>
            <w:tcW w:w="2660" w:type="dxa"/>
            <w:vAlign w:val="bottom"/>
            <w:tcBorders>
              <w:bottom w:val="single" w:sz="8" w:color="2C2C2C"/>
            </w:tcBorders>
            <w:gridSpan w:val="6"/>
          </w:tcPr>
          <w:p>
            <w:pPr>
              <w:spacing w:after="0"/>
              <w:rPr>
                <w:sz w:val="10"/>
                <w:szCs w:val="10"/>
                <w:color w:val="auto"/>
              </w:rPr>
            </w:pPr>
          </w:p>
        </w:tc>
        <w:tc>
          <w:tcPr>
            <w:tcW w:w="1400" w:type="dxa"/>
            <w:vAlign w:val="bottom"/>
            <w:tcBorders>
              <w:bottom w:val="single" w:sz="8" w:color="2C2C2C"/>
            </w:tcBorders>
            <w:gridSpan w:val="3"/>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ind w:left="6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00"/>
              <w:spacing w:after="0"/>
              <w:rPr>
                <w:sz w:val="20"/>
                <w:szCs w:val="20"/>
                <w:color w:val="auto"/>
              </w:rPr>
            </w:pPr>
            <w:r>
              <w:rPr>
                <w:rFonts w:ascii="Arial" w:cs="Arial" w:eastAsia="Arial" w:hAnsi="Arial"/>
                <w:sz w:val="12"/>
                <w:szCs w:val="12"/>
                <w:b w:val="1"/>
                <w:bCs w:val="1"/>
                <w:color w:val="auto"/>
                <w:w w:val="98"/>
              </w:rPr>
              <w:t>2. Transaction</w:t>
            </w:r>
          </w:p>
        </w:tc>
        <w:tc>
          <w:tcPr>
            <w:tcW w:w="120" w:type="dxa"/>
            <w:vAlign w:val="bottom"/>
          </w:tcPr>
          <w:p>
            <w:pPr>
              <w:spacing w:after="0"/>
              <w:rPr>
                <w:sz w:val="15"/>
                <w:szCs w:val="15"/>
                <w:color w:val="auto"/>
              </w:rPr>
            </w:pPr>
          </w:p>
        </w:tc>
        <w:tc>
          <w:tcPr>
            <w:tcW w:w="1300" w:type="dxa"/>
            <w:vAlign w:val="bottom"/>
            <w:gridSpan w:val="6"/>
          </w:tcPr>
          <w:p>
            <w:pPr>
              <w:ind w:left="18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7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20" w:type="dxa"/>
            <w:vAlign w:val="bottom"/>
            <w:gridSpan w:val="3"/>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300" w:type="dxa"/>
            <w:vAlign w:val="bottom"/>
            <w:gridSpan w:val="6"/>
          </w:tcPr>
          <w:p>
            <w:pPr>
              <w:ind w:left="1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180" w:type="dxa"/>
            <w:vAlign w:val="bottom"/>
            <w:gridSpan w:val="8"/>
          </w:tcPr>
          <w:p>
            <w:pPr>
              <w:ind w:left="60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6"/>
          </w:tcPr>
          <w:p>
            <w:pPr>
              <w:ind w:left="18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4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indirectly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11/18/2022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13,300</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7.493</w:t>
            </w:r>
            <w:r>
              <w:rPr>
                <w:rFonts w:ascii="Times New Roman" w:cs="Times New Roman" w:eastAsia="Times New Roman" w:hAnsi="Times New Roman"/>
                <w:sz w:val="22"/>
                <w:szCs w:val="22"/>
                <w:color w:val="008000"/>
                <w:w w:val="95"/>
                <w:vertAlign w:val="superscript"/>
              </w:rPr>
              <w:t>(1)</w:t>
            </w: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6,542,656</w:t>
            </w:r>
          </w:p>
        </w:tc>
        <w:tc>
          <w:tcPr>
            <w:tcW w:w="280" w:type="dxa"/>
            <w:vAlign w:val="bottom"/>
          </w:tcPr>
          <w:p>
            <w:pPr>
              <w:spacing w:after="0"/>
              <w:rPr>
                <w:sz w:val="18"/>
                <w:szCs w:val="18"/>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540" w:type="dxa"/>
            <w:vAlign w:val="bottom"/>
            <w:gridSpan w:val="4"/>
            <w:vMerge w:val="continue"/>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South</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(4)</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indirectly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11/21/2022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3,200</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7.8734</w:t>
            </w:r>
            <w:r>
              <w:rPr>
                <w:rFonts w:ascii="Times New Roman" w:cs="Times New Roman" w:eastAsia="Times New Roman" w:hAnsi="Times New Roman"/>
                <w:sz w:val="22"/>
                <w:szCs w:val="22"/>
                <w:color w:val="008000"/>
                <w:w w:val="95"/>
                <w:vertAlign w:val="superscript"/>
              </w:rPr>
              <w:t>(2)</w:t>
            </w: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6,545,856</w:t>
            </w:r>
          </w:p>
        </w:tc>
        <w:tc>
          <w:tcPr>
            <w:tcW w:w="280" w:type="dxa"/>
            <w:vAlign w:val="bottom"/>
          </w:tcPr>
          <w:p>
            <w:pPr>
              <w:spacing w:after="0"/>
              <w:rPr>
                <w:sz w:val="18"/>
                <w:szCs w:val="18"/>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540" w:type="dxa"/>
            <w:vAlign w:val="bottom"/>
            <w:gridSpan w:val="4"/>
            <w:vMerge w:val="continue"/>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South</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(4)</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indirectly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11/22/2022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12,500</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7.3239</w:t>
            </w:r>
            <w:r>
              <w:rPr>
                <w:rFonts w:ascii="Times New Roman" w:cs="Times New Roman" w:eastAsia="Times New Roman" w:hAnsi="Times New Roman"/>
                <w:sz w:val="22"/>
                <w:szCs w:val="22"/>
                <w:color w:val="008000"/>
                <w:w w:val="95"/>
                <w:vertAlign w:val="superscript"/>
              </w:rPr>
              <w:t>(3)</w:t>
            </w: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6,558,356</w:t>
            </w:r>
          </w:p>
        </w:tc>
        <w:tc>
          <w:tcPr>
            <w:tcW w:w="280" w:type="dxa"/>
            <w:vAlign w:val="bottom"/>
          </w:tcPr>
          <w:p>
            <w:pPr>
              <w:spacing w:after="0"/>
              <w:rPr>
                <w:sz w:val="18"/>
                <w:szCs w:val="18"/>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540" w:type="dxa"/>
            <w:vAlign w:val="bottom"/>
            <w:gridSpan w:val="4"/>
            <w:vMerge w:val="continue"/>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South</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40" w:type="dxa"/>
            <w:vAlign w:val="bottom"/>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8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4.</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2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92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tcBorders>
              <w:right w:val="single" w:sz="8" w:color="2C2C2C"/>
            </w:tcBorders>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6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660" w:type="dxa"/>
            <w:vAlign w:val="bottom"/>
            <w:tcBorders>
              <w:bottom w:val="single" w:sz="8" w:color="2C2C2C"/>
            </w:tcBorders>
            <w:gridSpan w:val="6"/>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8"/>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80" w:type="dxa"/>
            <w:vAlign w:val="bottom"/>
            <w:gridSpan w:val="12"/>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South Cone Investments Limited Partnership</w:t>
              </w:r>
            </w:hyperlink>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-2450465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AVENIDA PRESIDENTE RIESCO 5711</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OFICINA 1603, LAS CONDES</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6"/>
        </w:trPr>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SANTIAGO</w:t>
            </w: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0000FF"/>
              </w:rPr>
              <w:t>F3</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7550000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2"/>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South Lake One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AVENIDA PRESIDENTE RIESCO 5711</w:t>
            </w:r>
          </w:p>
        </w:tc>
      </w:tr>
      <w:tr>
        <w:trPr>
          <w:trHeight w:val="267"/>
        </w:trPr>
        <w:tc>
          <w:tcPr>
            <w:tcW w:w="100" w:type="dxa"/>
            <w:vAlign w:val="bottom"/>
          </w:tcPr>
          <w:p>
            <w:pPr>
              <w:spacing w:after="0"/>
              <w:rPr>
                <w:sz w:val="23"/>
                <w:szCs w:val="23"/>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SANTIAGO</w:t>
            </w: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0000FF"/>
              </w:rPr>
              <w:t>F3</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7550000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-2344420</wp:posOffset>
            </wp:positionV>
            <wp:extent cx="2809240" cy="2424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2424430"/>
                    </a:xfrm>
                    <a:prstGeom prst="rect">
                      <a:avLst/>
                    </a:prstGeom>
                    <a:noFill/>
                  </pic:spPr>
                </pic:pic>
              </a:graphicData>
            </a:graphic>
          </wp:anchor>
        </w:drawing>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$7.39 to $7.82 per share, inclusive. The reporting persons undertake to provide Rani Therapeutics Holdings, Inc., a Delaware corporation (the "Issuer"), any security holder of the Issuer, or the staff of the Securities and Exchange Commission, upon request, full information regarding the number of shares sold at each separate price within the range set forth in this footnote (1) to this Form 4.</w:t>
      </w:r>
    </w:p>
    <w:p>
      <w:pPr>
        <w:spacing w:after="0" w:line="20" w:lineRule="exact"/>
        <w:rPr>
          <w:rFonts w:ascii="Times New Roman" w:cs="Times New Roman" w:eastAsia="Times New Roman" w:hAnsi="Times New Roman"/>
          <w:sz w:val="13"/>
          <w:szCs w:val="13"/>
          <w:color w:val="008000"/>
        </w:rPr>
      </w:pPr>
    </w:p>
    <w:p>
      <w:pPr>
        <w:ind w:left="20" w:right="1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$7.73 to $8.00 per share, inclusive. The reporting persons undertake to provide the Issuer, any security holder of the Issuer, or the staff of the Securities and Exchange Commission, upon request, full information regarding the number of shares sold at each separate price within the range set forth in this footnote (2) to this Form 4.</w:t>
      </w:r>
    </w:p>
    <w:p>
      <w:pPr>
        <w:spacing w:after="0" w:line="20" w:lineRule="exact"/>
        <w:rPr>
          <w:rFonts w:ascii="Times New Roman" w:cs="Times New Roman" w:eastAsia="Times New Roman" w:hAnsi="Times New Roman"/>
          <w:sz w:val="13"/>
          <w:szCs w:val="13"/>
          <w:color w:val="008000"/>
        </w:rPr>
      </w:pPr>
    </w:p>
    <w:p>
      <w:pPr>
        <w:ind w:left="20" w:right="1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$7.05 to $7.60 per share, inclusive. The reporting persons undertake to provide the Issuer, any security holder of the Issuer, or the staff of the Securities and Exchange Commission, upon request, full information regarding the number of shares sold at each separate price within the range set forth in this footnote (3) to this Form 4.</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South Cone Limited Partnership directly owns 100% of the issued and outstanding membership interest of South Lake One LLC.</w:t>
      </w:r>
    </w:p>
    <w:p>
      <w:pPr>
        <w:sectPr>
          <w:pgSz w:w="11900" w:h="16838" w:orient="portrait"/>
          <w:cols w:equalWidth="0" w:num="1">
            <w:col w:w="10900"/>
          </w:cols>
          <w:pgMar w:left="480" w:top="125" w:right="519" w:bottom="1440" w:gutter="0" w:footer="0" w:header="0"/>
        </w:sectPr>
      </w:pPr>
    </w:p>
    <w:p>
      <w:pPr>
        <w:spacing w:after="0" w:line="7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Isidoro Quiroga Cortes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32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Luis Felipe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563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Gonzalez, Managers of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7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Lake One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6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66611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Isidoro Quiroga Cortes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322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Luis Felipe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563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Gonzalez, Managers of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7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Lake Management LLC,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33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203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of South Cone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563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Investments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074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501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712" w:lineRule="exact"/>
        <w:rPr>
          <w:sz w:val="20"/>
          <w:szCs w:val="20"/>
          <w:color w:val="auto"/>
        </w:rPr>
      </w:pPr>
    </w:p>
    <w:p>
      <w:pPr>
        <w:sectPr>
          <w:pgSz w:w="11900" w:h="16838" w:orient="portrait"/>
          <w:cols w:equalWidth="0" w:num="2">
            <w:col w:w="8700" w:space="60"/>
            <w:col w:w="2140"/>
          </w:cols>
          <w:pgMar w:left="480" w:top="125" w:right="51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20"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25"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12" Type="http://schemas.openxmlformats.org/officeDocument/2006/relationships/hyperlink" Target="http://www.sec.gov/cgi-bin/browse-edgar?action=getcompany&amp;CIK=0001876412" TargetMode="External"/><Relationship Id="rId13" Type="http://schemas.openxmlformats.org/officeDocument/2006/relationships/hyperlink" Target="http://www.sec.gov/cgi-bin/browse-edgar?action=getcompany&amp;CIK=0001856725" TargetMode="External"/><Relationship Id="rId15" Type="http://schemas.openxmlformats.org/officeDocument/2006/relationships/hyperlink" Target="http://www.sec.gov/cgi-bin/browse-edgar?action=getcompany&amp;CIK=00017942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2022-11-23T11:25:38Z</dcterms:created>
  <dcterms:modified xsi:type="dcterms:W3CDTF">2022-11-23T11:25:38Z</dcterms:modified>
</cp:coreProperties>
</file>