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ind w:left="474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ind w:left="4245"/>
        <w:spacing w:after="0"/>
        <w:rPr>
          <w:sz w:val="20"/>
          <w:szCs w:val="20"/>
          <w:color w:val="auto"/>
        </w:rPr>
      </w:pPr>
      <w:r>
        <w:rPr>
          <w:rFonts w:ascii="Times New Roman" w:cs="Times New Roman" w:eastAsia="Times New Roman" w:hAnsi="Times New Roman"/>
          <w:sz w:val="19"/>
          <w:szCs w:val="19"/>
          <w:b w:val="1"/>
          <w:bCs w:val="1"/>
          <w:color w:val="auto"/>
        </w:rPr>
        <w:t>Pursuant to Section 13 or 15(d) of</w:t>
      </w:r>
    </w:p>
    <w:p>
      <w:pPr>
        <w:ind w:left="4185"/>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73"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Rani Therapeutics Holdings,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5" w:type="dxa"/>
        <w:tblCellMar>
          <w:top w:w="0" w:type="dxa"/>
          <w:left w:w="0" w:type="dxa"/>
          <w:bottom w:w="0" w:type="dxa"/>
          <w:right w:w="0" w:type="dxa"/>
        </w:tblCellMar>
      </w:tblPr>
      <w:tr>
        <w:trPr>
          <w:trHeight w:val="207"/>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8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001-40672</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86-3114789</w:t>
            </w:r>
          </w:p>
        </w:tc>
      </w:tr>
      <w:tr>
        <w:trPr>
          <w:trHeight w:val="130"/>
        </w:trPr>
        <w:tc>
          <w:tcPr>
            <w:tcW w:w="2800" w:type="dxa"/>
            <w:vAlign w:val="bottom"/>
          </w:tcPr>
          <w:p>
            <w:pPr>
              <w:jc w:val="center"/>
              <w:ind w:right="751"/>
              <w:spacing w:after="0" w:line="13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3280" w:type="dxa"/>
            <w:vAlign w:val="bottom"/>
          </w:tcPr>
          <w:p>
            <w:pPr>
              <w:jc w:val="center"/>
              <w:ind w:right="19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2051 Ringwood Avenue</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San Jose, California</w:t>
            </w:r>
          </w:p>
        </w:tc>
        <w:tc>
          <w:tcPr>
            <w:tcW w:w="328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95131</w:t>
            </w:r>
          </w:p>
        </w:tc>
      </w:tr>
      <w:tr>
        <w:trPr>
          <w:trHeight w:val="15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457-3700</w:t>
      </w:r>
    </w:p>
    <w:p>
      <w:pPr>
        <w:spacing w:after="0" w:line="34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11"/>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par value $0.0001 per share</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RANI</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175260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On February 5, 2024, Rani Therapeutics Holdings, Inc. (the “Company” or “Rani”) issued a press release to announce topline results from the RT-111 Phase 1 clinical trial. A copy of the press release is attached hereto as Exhibit 99.1 and is incorporated herein by reference. The Company is also furnishing a copy of a presentation (the “Presentation”) that the Company intends to use, in whole or in part, during discussions with external parties. A copy of the Presentation is furnished as Exhibit 99.2 to this Current Report on Form 8-K and is incorporated by reference herein. All of the information furnished in this Item 7.01 and Item 9.01 (including Exhibit 99.1 and Exhibit 99.2)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February 5, 2024, Rani announced topline results from the RT-111 Phase 1 clinical trial.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Study Design</w:t>
      </w:r>
    </w:p>
    <w:p>
      <w:pPr>
        <w:spacing w:after="0" w:line="17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6"/>
          <w:szCs w:val="16"/>
          <w:color w:val="auto"/>
        </w:rPr>
        <w:t>A single-center, open-label Phase 1 study of RT-111, a RaniPill capsule containing ustekinumab biosimilar, was conducted in Australia. The study evaluated the safety and tolerability of a single administration of RT-111 in healthy adult volunteers. Of the 55 participants, 20 orally ingested RT-111 containing a single 0.5mg dose of ustekinumab biosimilar and 20 orally ingested RT-111 containing a single 0.75mg dose of ustekinumab biosimilar, while a control group of 15 participants received a single 0.5mg subcutaneous (SC) injection of STELARA® (ustekinumab), a commercial formulation of ustekinumab.</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Participants were fasted overnight prior to dose administration. Blood samples were collected at various time points over 60 days and analyzed for ustekinumab concentrations.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Blood samples were analyzed for anti-drug antibodies at three timepoints.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Topline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Safety and Tolerability</w:t>
      </w:r>
    </w:p>
    <w:p>
      <w:pPr>
        <w:spacing w:after="0" w:line="102" w:lineRule="exact"/>
        <w:rPr>
          <w:sz w:val="20"/>
          <w:szCs w:val="20"/>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RT-111 was generally well tolerated, with no serious adverse events (SAEs) noted during the study</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None of the participants withdrew from the study due to any adverse event</w:t>
      </w:r>
    </w:p>
    <w:p>
      <w:pPr>
        <w:spacing w:after="0" w:line="99" w:lineRule="exact"/>
        <w:rPr>
          <w:rFonts w:ascii="Times New Roman" w:cs="Times New Roman" w:eastAsia="Times New Roman" w:hAnsi="Times New Roman"/>
          <w:sz w:val="16"/>
          <w:szCs w:val="16"/>
          <w:color w:val="auto"/>
        </w:rPr>
      </w:pPr>
    </w:p>
    <w:p>
      <w:pPr>
        <w:ind w:left="1520" w:right="2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oTwo subjects in the 0.5mg RT-111 group and one subject in the 0.5mg SC STELARA® group had mild, transient adverse events which resolved without any intervention</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was no meaningful difference in incidence of anti-drug antibodies via the RaniPill route of delivery compared to STELARA® SC injection</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280" w:type="dxa"/>
            <w:vAlign w:val="bottom"/>
            <w:tcBorders>
              <w:top w:val="single" w:sz="8" w:color="auto"/>
              <w:left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96"/>
              </w:rPr>
              <w:t>Stelara® SC 0.50 mg</w:t>
            </w:r>
          </w:p>
        </w:tc>
        <w:tc>
          <w:tcPr>
            <w:tcW w:w="480" w:type="dxa"/>
            <w:vAlign w:val="bottom"/>
            <w:tcBorders>
              <w:top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RT-111 0.50 mg</w:t>
            </w:r>
          </w:p>
        </w:tc>
        <w:tc>
          <w:tcPr>
            <w:tcW w:w="224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RT-111 0.75 mg</w:t>
            </w:r>
          </w:p>
        </w:tc>
      </w:tr>
      <w:tr>
        <w:trPr>
          <w:trHeight w:val="230"/>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w w:val="98"/>
              </w:rPr>
              <w:t>N=15</w:t>
            </w:r>
          </w:p>
        </w:tc>
        <w:tc>
          <w:tcPr>
            <w:tcW w:w="4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N=20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N=20</w:t>
            </w:r>
          </w:p>
        </w:tc>
      </w:tr>
      <w:tr>
        <w:trPr>
          <w:trHeight w:val="191"/>
        </w:trPr>
        <w:tc>
          <w:tcPr>
            <w:tcW w:w="2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Drug Signal Detected</w:t>
            </w:r>
          </w:p>
        </w:tc>
        <w:tc>
          <w:tcPr>
            <w:tcW w:w="110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w w:val="98"/>
              </w:rPr>
              <w:t>N=15</w:t>
            </w:r>
          </w:p>
        </w:tc>
        <w:tc>
          <w:tcPr>
            <w:tcW w:w="4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N=19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N=16</w:t>
            </w:r>
          </w:p>
        </w:tc>
      </w:tr>
      <w:tr>
        <w:trPr>
          <w:trHeight w:val="203"/>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Number of ADA Positive Cases</w:t>
            </w:r>
          </w:p>
        </w:tc>
        <w:tc>
          <w:tcPr>
            <w:tcW w:w="2240" w:type="dxa"/>
            <w:vAlign w:val="bottom"/>
            <w:tcBorders>
              <w:bottom w:val="single" w:sz="8" w:color="auto"/>
              <w:right w:val="single" w:sz="8" w:color="auto"/>
            </w:tcBorders>
          </w:tcPr>
          <w:p>
            <w:pPr>
              <w:spacing w:after="0"/>
              <w:rPr>
                <w:sz w:val="17"/>
                <w:szCs w:val="17"/>
                <w:color w:val="auto"/>
              </w:rPr>
            </w:pPr>
          </w:p>
        </w:tc>
      </w:tr>
      <w:tr>
        <w:trPr>
          <w:trHeight w:val="205"/>
        </w:trPr>
        <w:tc>
          <w:tcPr>
            <w:tcW w:w="2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ADA Positive*</w:t>
            </w:r>
          </w:p>
        </w:tc>
        <w:tc>
          <w:tcPr>
            <w:tcW w:w="11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N</w:t>
            </w:r>
          </w:p>
        </w:tc>
        <w:tc>
          <w:tcPr>
            <w:tcW w:w="178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w w:val="99"/>
              </w:rPr>
              <w:t>4</w:t>
            </w:r>
          </w:p>
        </w:tc>
        <w:tc>
          <w:tcPr>
            <w:tcW w:w="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05"/>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w w:val="95"/>
              </w:rPr>
              <w:t>27%</w:t>
            </w:r>
          </w:p>
        </w:tc>
        <w:tc>
          <w:tcPr>
            <w:tcW w:w="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w:t>
            </w:r>
          </w:p>
        </w:tc>
      </w:tr>
    </w:tbl>
    <w:p>
      <w:pPr>
        <w:ind w:left="1020"/>
        <w:spacing w:after="0"/>
        <w:rPr>
          <w:sz w:val="20"/>
          <w:szCs w:val="20"/>
          <w:color w:val="auto"/>
        </w:rPr>
      </w:pPr>
      <w:r>
        <w:rPr>
          <w:rFonts w:ascii="Times New Roman" w:cs="Times New Roman" w:eastAsia="Times New Roman" w:hAnsi="Times New Roman"/>
          <w:sz w:val="16"/>
          <w:szCs w:val="16"/>
          <w:color w:val="auto"/>
        </w:rPr>
        <w:t>* ADA positive post dosing, increase in titer compared to pre-dose level</w:t>
      </w:r>
    </w:p>
    <w:p>
      <w:pPr>
        <w:spacing w:after="0" w:line="142" w:lineRule="exact"/>
        <w:rPr>
          <w:sz w:val="20"/>
          <w:szCs w:val="20"/>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participants reported difficulty swallowing the capsule and capsule remnants passed from all participants without sequelae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60960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t>Pharmacokinetics</w:t>
      </w:r>
    </w:p>
    <w:p>
      <w:pPr>
        <w:spacing w:after="0" w:line="173" w:lineRule="exact"/>
        <w:rPr>
          <w:sz w:val="20"/>
          <w:szCs w:val="20"/>
          <w:color w:val="auto"/>
        </w:rPr>
      </w:pPr>
    </w:p>
    <w:p>
      <w:pPr>
        <w:ind w:left="1020" w:right="360" w:hanging="516"/>
        <w:spacing w:after="0" w:line="276"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Oral RT-111 delivered 0.5mg and 0.75mg of ustekinumab biosimilar with high bioavailability (estimated bioavailability of 84% for 0.5mg RT-111 relative to 0.5mg SC STELARA®).</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8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800" w:type="dxa"/>
            <w:vAlign w:val="bottom"/>
            <w:tcBorders>
              <w:top w:val="single" w:sz="8" w:color="auto"/>
              <w:bottom w:val="single" w:sz="8" w:color="auto"/>
              <w:right w:val="single" w:sz="8" w:color="auto"/>
            </w:tcBorders>
          </w:tcPr>
          <w:p>
            <w:pPr>
              <w:ind w:left="740"/>
              <w:spacing w:after="0" w:line="232" w:lineRule="exact"/>
              <w:rPr>
                <w:sz w:val="20"/>
                <w:szCs w:val="20"/>
                <w:color w:val="auto"/>
              </w:rPr>
            </w:pPr>
            <w:r>
              <w:rPr>
                <w:rFonts w:ascii="Times New Roman" w:cs="Times New Roman" w:eastAsia="Times New Roman" w:hAnsi="Times New Roman"/>
                <w:sz w:val="16"/>
                <w:szCs w:val="16"/>
                <w:color w:val="auto"/>
              </w:rPr>
              <w:t>Stelara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SC 0.50mg</w:t>
            </w:r>
          </w:p>
        </w:tc>
        <w:tc>
          <w:tcPr>
            <w:tcW w:w="280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RT-111 0.50mg</w:t>
            </w:r>
          </w:p>
        </w:tc>
        <w:tc>
          <w:tcPr>
            <w:tcW w:w="282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RT-111 0.75mg</w:t>
            </w:r>
          </w:p>
        </w:tc>
      </w:tr>
      <w:tr>
        <w:trPr>
          <w:trHeight w:val="188"/>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Cmax (ng/mL)</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56 ± 4</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67 ± 7</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92 ± 8</w:t>
            </w:r>
          </w:p>
        </w:tc>
      </w:tr>
      <w:tr>
        <w:trPr>
          <w:trHeight w:val="20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Tmax (days)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10 ± 0.8</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3.1 ± 0.2*</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3.3 ± 0.2*</w:t>
            </w:r>
          </w:p>
        </w:tc>
      </w:tr>
      <w:tr>
        <w:trPr>
          <w:trHeight w:val="205"/>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AUC (day*ng/mL)</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1,566 ± 130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1,315 ± 150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1,814 ± 165</w:t>
            </w:r>
          </w:p>
        </w:tc>
      </w:tr>
      <w:tr>
        <w:trPr>
          <w:trHeight w:val="205"/>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Bioavailability</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84%</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 are Mean ± SE from all subjects, including those with anti-drug antibodies. *p&lt;0.0001 significantly different from SC group.</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This report contains "forward-looking" statements, including statements regarding topline results from the RT-111 Phase 1 study. Actual results may differ materially from those set forth in this report due to the risks and uncertainties inherent in research and development, including the risk that initial (or topline) clinical results do not report on all data from a clinical trial that may be important for development or regulatory approval, the risk that results from earlier clinical trials may not be indicative of future clinical results, as well as other risks detailed in the "Risk Factors" section of the Company’s Annual Report on Form 10-K for the fiscal year ended December 31, 2022 as well as discussions of potential risks, uncertainties and other important factors in the Company’s other filings with the U.S. Securities and Exchange Commission. The Company undertakes no obligation to revise or update information herein to reflect events or circumstances in the future, even if new information becomes available.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560" w:type="dxa"/>
            <w:vAlign w:val="bottom"/>
          </w:tcPr>
          <w:p>
            <w:pPr>
              <w:spacing w:after="0"/>
              <w:rPr>
                <w:sz w:val="16"/>
                <w:szCs w:val="16"/>
                <w:color w:val="auto"/>
              </w:rPr>
            </w:pPr>
          </w:p>
        </w:tc>
      </w:tr>
      <w:tr>
        <w:trPr>
          <w:trHeight w:val="211"/>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154"/>
        </w:trPr>
        <w:tc>
          <w:tcPr>
            <w:tcW w:w="8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bottom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6"/>
                <w:szCs w:val="16"/>
                <w:color w:val="0000FF"/>
                <w:w w:val="98"/>
              </w:rPr>
              <w:t>Press Release of Rani Therapeutics Holdings, Inc. dated February 5, 2024</w:t>
            </w:r>
          </w:p>
        </w:tc>
        <w:tc>
          <w:tcPr>
            <w:tcW w:w="5560" w:type="dxa"/>
            <w:vAlign w:val="bottom"/>
          </w:tcPr>
          <w:p>
            <w:pPr>
              <w:spacing w:after="0"/>
              <w:rPr>
                <w:sz w:val="13"/>
                <w:szCs w:val="13"/>
                <w:color w:val="auto"/>
              </w:rPr>
            </w:pPr>
          </w:p>
        </w:tc>
      </w:tr>
      <w:tr>
        <w:trPr>
          <w:trHeight w:val="181"/>
        </w:trPr>
        <w:tc>
          <w:tcPr>
            <w:tcW w:w="8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bottom w:val="single" w:sz="8" w:color="0000FF"/>
            </w:tcBorders>
          </w:tcPr>
          <w:p>
            <w:pPr>
              <w:spacing w:after="0" w:line="181" w:lineRule="exact"/>
              <w:rPr>
                <w:sz w:val="20"/>
                <w:szCs w:val="20"/>
                <w:color w:val="auto"/>
              </w:rPr>
            </w:pPr>
            <w:r>
              <w:rPr>
                <w:rFonts w:ascii="Times New Roman" w:cs="Times New Roman" w:eastAsia="Times New Roman" w:hAnsi="Times New Roman"/>
                <w:sz w:val="16"/>
                <w:szCs w:val="16"/>
                <w:color w:val="0000FF"/>
                <w:w w:val="97"/>
              </w:rPr>
              <w:t>Presentation dated February 2024</w:t>
            </w:r>
          </w:p>
        </w:tc>
        <w:tc>
          <w:tcPr>
            <w:tcW w:w="20" w:type="dxa"/>
            <w:vAlign w:val="bottom"/>
            <w:tcBorders>
              <w:bottom w:val="single" w:sz="8" w:color="0000EE"/>
            </w:tcBorders>
          </w:tcPr>
          <w:p>
            <w:pPr>
              <w:spacing w:after="0"/>
              <w:rPr>
                <w:sz w:val="15"/>
                <w:szCs w:val="15"/>
                <w:color w:val="auto"/>
              </w:rPr>
            </w:pPr>
          </w:p>
        </w:tc>
        <w:tc>
          <w:tcPr>
            <w:tcW w:w="8080" w:type="dxa"/>
            <w:vAlign w:val="bottom"/>
            <w:gridSpan w:val="2"/>
          </w:tcPr>
          <w:p>
            <w:pPr>
              <w:spacing w:after="0"/>
              <w:rPr>
                <w:sz w:val="15"/>
                <w:szCs w:val="15"/>
                <w:color w:val="auto"/>
              </w:rPr>
            </w:pPr>
          </w:p>
        </w:tc>
      </w:tr>
      <w:tr>
        <w:trPr>
          <w:trHeight w:val="21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99"/>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75" w:right="31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Rani Therapeutics Holdings, Inc.</w:t>
      </w:r>
    </w:p>
    <w:p>
      <w:pPr>
        <w:spacing w:after="0" w:line="242"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February 5,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28575</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Svai Sanford</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185420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13335</wp:posOffset>
            </wp:positionV>
            <wp:extent cx="855980" cy="661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5980" cy="66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Rani Therapeutcs Announces Positve Topline Results from Phase 1 Study of</w:t>
      </w:r>
    </w:p>
    <w:p>
      <w:pPr>
        <w:spacing w:after="0" w:line="12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an Oral Ant-Interleukin 12/23 Antbody (RT-111)</w:t>
      </w: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16"/>
          <w:szCs w:val="16"/>
          <w:i w:val="1"/>
          <w:iCs w:val="1"/>
          <w:color w:val="auto"/>
        </w:rPr>
        <w:t>- RT-111 achieved high bioavailability in humans -</w:t>
      </w:r>
    </w:p>
    <w:p>
      <w:pPr>
        <w:spacing w:after="0" w:line="124" w:lineRule="exact"/>
        <w:rPr>
          <w:sz w:val="20"/>
          <w:szCs w:val="20"/>
          <w:color w:val="auto"/>
        </w:rPr>
      </w:pPr>
    </w:p>
    <w:p>
      <w:pPr>
        <w:jc w:val="center"/>
        <w:spacing w:after="0"/>
        <w:rPr>
          <w:sz w:val="20"/>
          <w:szCs w:val="20"/>
          <w:color w:val="auto"/>
        </w:rPr>
      </w:pPr>
      <w:r>
        <w:rPr>
          <w:rFonts w:ascii="Calibri" w:cs="Calibri" w:eastAsia="Calibri" w:hAnsi="Calibri"/>
          <w:sz w:val="16"/>
          <w:szCs w:val="16"/>
          <w:i w:val="1"/>
          <w:iCs w:val="1"/>
          <w:color w:val="auto"/>
        </w:rPr>
        <w:t>- RT-111 was well-tolerated, with no serious adverse events -</w:t>
      </w:r>
    </w:p>
    <w:p>
      <w:pPr>
        <w:spacing w:after="0" w:line="124" w:lineRule="exact"/>
        <w:rPr>
          <w:sz w:val="20"/>
          <w:szCs w:val="20"/>
          <w:color w:val="auto"/>
        </w:rPr>
      </w:pPr>
    </w:p>
    <w:p>
      <w:pPr>
        <w:ind w:left="1260" w:hanging="89"/>
        <w:spacing w:after="0"/>
        <w:tabs>
          <w:tab w:leader="none" w:pos="1260" w:val="left"/>
        </w:tabs>
        <w:numPr>
          <w:ilvl w:val="0"/>
          <w:numId w:val="5"/>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Celltrion has right of frst negotaton to acquire worldwide rights to RT-111 following a Phase 1 clinical trial that meets its primary endpoints –</w:t>
      </w:r>
    </w:p>
    <w:p>
      <w:pPr>
        <w:spacing w:after="0" w:line="112" w:lineRule="exact"/>
        <w:rPr>
          <w:rFonts w:ascii="Calibri" w:cs="Calibri" w:eastAsia="Calibri" w:hAnsi="Calibri"/>
          <w:sz w:val="16"/>
          <w:szCs w:val="16"/>
          <w:i w:val="1"/>
          <w:iCs w:val="1"/>
          <w:color w:val="auto"/>
        </w:rPr>
      </w:pPr>
    </w:p>
    <w:p>
      <w:pPr>
        <w:ind w:left="3040" w:hanging="83"/>
        <w:spacing w:after="0"/>
        <w:tabs>
          <w:tab w:leader="none" w:pos="3040" w:val="left"/>
        </w:tabs>
        <w:numPr>
          <w:ilvl w:val="1"/>
          <w:numId w:val="5"/>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Rani has now successfully completed three Phase 1 trials using RaniPill® technology -</w:t>
      </w:r>
    </w:p>
    <w:p>
      <w:pPr>
        <w:spacing w:after="0" w:line="123" w:lineRule="exact"/>
        <w:rPr>
          <w:rFonts w:ascii="Calibri" w:cs="Calibri" w:eastAsia="Calibri" w:hAnsi="Calibri"/>
          <w:sz w:val="16"/>
          <w:szCs w:val="16"/>
          <w:i w:val="1"/>
          <w:iCs w:val="1"/>
          <w:color w:val="auto"/>
        </w:rPr>
      </w:pPr>
    </w:p>
    <w:p>
      <w:pPr>
        <w:ind w:left="3460" w:hanging="72"/>
        <w:spacing w:after="0"/>
        <w:tabs>
          <w:tab w:leader="none" w:pos="3460" w:val="left"/>
        </w:tabs>
        <w:numPr>
          <w:ilvl w:val="2"/>
          <w:numId w:val="5"/>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Company to host conference call today at 8:30 a.m. ET / 5:30 a.m. PT –</w:t>
      </w:r>
    </w:p>
    <w:p>
      <w:pPr>
        <w:spacing w:after="0" w:line="133" w:lineRule="exact"/>
        <w:rPr>
          <w:sz w:val="20"/>
          <w:szCs w:val="20"/>
          <w:color w:val="auto"/>
        </w:rPr>
      </w:pPr>
    </w:p>
    <w:p>
      <w:pPr>
        <w:jc w:val="both"/>
        <w:ind w:right="160"/>
        <w:spacing w:after="0" w:line="231" w:lineRule="auto"/>
        <w:rPr>
          <w:sz w:val="20"/>
          <w:szCs w:val="20"/>
          <w:color w:val="auto"/>
        </w:rPr>
      </w:pPr>
      <w:r>
        <w:rPr>
          <w:rFonts w:ascii="Calibri" w:cs="Calibri" w:eastAsia="Calibri" w:hAnsi="Calibri"/>
          <w:sz w:val="16"/>
          <w:szCs w:val="16"/>
          <w:b w:val="1"/>
          <w:bCs w:val="1"/>
          <w:color w:val="auto"/>
        </w:rPr>
        <w:t xml:space="preserve">SAN JOSE, Calif., February 5, 2024 </w:t>
      </w:r>
      <w:r>
        <w:rPr>
          <w:rFonts w:ascii="Calibri" w:cs="Calibri" w:eastAsia="Calibri" w:hAnsi="Calibri"/>
          <w:sz w:val="16"/>
          <w:szCs w:val="16"/>
          <w:color w:val="auto"/>
        </w:rPr>
        <w:t>-- Rani Therapeutcs Holdings, Inc. (“Rani Therapeutcs” or “Rani”) (Nasdaq: RANI), a clinical-stage biotherapeutcs company focused on the oral</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delivery of biologics and drugs, today announced positve topline results from its Phase 1 clinical study of RT-111, a RaniPill® capsule containing an ustekinumab biosimilar, CT-P43. In the study, RT-111 was well-tolerated and delivered ustekinumab with high bioavailability.</w:t>
      </w:r>
    </w:p>
    <w:p>
      <w:pPr>
        <w:spacing w:after="0" w:line="122" w:lineRule="exact"/>
        <w:rPr>
          <w:sz w:val="20"/>
          <w:szCs w:val="20"/>
          <w:color w:val="auto"/>
        </w:rPr>
      </w:pPr>
    </w:p>
    <w:p>
      <w:pPr>
        <w:ind w:right="40"/>
        <w:spacing w:after="0" w:line="249" w:lineRule="auto"/>
        <w:rPr>
          <w:sz w:val="20"/>
          <w:szCs w:val="20"/>
          <w:color w:val="auto"/>
        </w:rPr>
      </w:pPr>
      <w:r>
        <w:rPr>
          <w:rFonts w:ascii="Calibri" w:cs="Calibri" w:eastAsia="Calibri" w:hAnsi="Calibri"/>
          <w:sz w:val="15"/>
          <w:szCs w:val="15"/>
          <w:color w:val="auto"/>
        </w:rPr>
        <w:t>“We are highly encouraged by the positve results from our Phase 1 study for RT-111 – our third successfully completed Phase 1 trial using RaniPill® technology. To our knowledge, RT-111 is the frst ever oral monoclonal antbody to achieve high bioavailability in humans,” said Talat Imran, Chief Executve Ofcer of Rani. “These data provide clinical validaton of our ability to successfully transform an injectable large molecule into an oral pill. Specifcally for this program, we believe RT-111 has the potental to ofer a highly diferentated dosing regimen for patents with psoriasis compared to both injectable biologics and oral small molecules and peptdes. The success of the Phase 1 study of RT-111 marks another signifcant milestone for the Rani team, as we diligently work towards making oral biologics a reality for the millions of patents living with autoimmune conditons.”</w:t>
      </w:r>
    </w:p>
    <w:p>
      <w:pPr>
        <w:spacing w:after="0" w:line="130" w:lineRule="exact"/>
        <w:rPr>
          <w:sz w:val="20"/>
          <w:szCs w:val="20"/>
          <w:color w:val="auto"/>
        </w:rPr>
      </w:pPr>
    </w:p>
    <w:p>
      <w:pPr>
        <w:ind w:right="60"/>
        <w:spacing w:after="0" w:line="234" w:lineRule="auto"/>
        <w:rPr>
          <w:sz w:val="20"/>
          <w:szCs w:val="20"/>
          <w:color w:val="auto"/>
        </w:rPr>
      </w:pPr>
      <w:r>
        <w:rPr>
          <w:rFonts w:ascii="Calibri" w:cs="Calibri" w:eastAsia="Calibri" w:hAnsi="Calibri"/>
          <w:sz w:val="16"/>
          <w:szCs w:val="16"/>
          <w:color w:val="auto"/>
        </w:rPr>
        <w:t>Ustekinumab is a human IgG1</w:t>
      </w:r>
      <w:r>
        <w:rPr>
          <w:rFonts w:ascii="Arial" w:cs="Arial" w:eastAsia="Arial" w:hAnsi="Arial"/>
          <w:sz w:val="16"/>
          <w:szCs w:val="16"/>
          <w:color w:val="auto"/>
        </w:rPr>
        <w:t>қ</w:t>
      </w:r>
      <w:r>
        <w:rPr>
          <w:rFonts w:ascii="Calibri" w:cs="Calibri" w:eastAsia="Calibri" w:hAnsi="Calibri"/>
          <w:sz w:val="16"/>
          <w:szCs w:val="16"/>
          <w:color w:val="auto"/>
        </w:rPr>
        <w:t xml:space="preserve"> monoclonal antbody that binds with specifcity to the p40 protein subunit used by both the interleukin-12 and interleukin-23 (IL-12 and IL-23) cytokines. Currently, ustekinumab is available only as a subcutaneous injecton (SC) and is marketed in the United States by Janssen as STELARA® for the treatment of moderate to severe plaque psoriasis, actve psoriatc arthrits, moderate to severe Crohn’s disease, and moderate to severe ulceratve colits, all of which have large unmet medical needs for oral treatment. Sales for STELARA were approximately $6.4 billion in the United States and approximately $9.7 billion worldwide in 2022.</w:t>
      </w:r>
    </w:p>
    <w:p>
      <w:pPr>
        <w:spacing w:after="0" w:line="134" w:lineRule="exact"/>
        <w:rPr>
          <w:sz w:val="20"/>
          <w:szCs w:val="20"/>
          <w:color w:val="auto"/>
        </w:rPr>
      </w:pPr>
    </w:p>
    <w:p>
      <w:pPr>
        <w:ind w:right="20"/>
        <w:spacing w:after="0" w:line="231" w:lineRule="auto"/>
        <w:rPr>
          <w:sz w:val="20"/>
          <w:szCs w:val="20"/>
          <w:color w:val="auto"/>
        </w:rPr>
      </w:pPr>
      <w:r>
        <w:rPr>
          <w:rFonts w:ascii="Calibri" w:cs="Calibri" w:eastAsia="Calibri" w:hAnsi="Calibri"/>
          <w:sz w:val="16"/>
          <w:szCs w:val="16"/>
          <w:color w:val="auto"/>
        </w:rPr>
        <w:t>Rani’s single-center, open label, Phase 1 study of RT-111 was conducted in Australia. The study evaluated the safety, tolerability, and pharmacokinetcs (PK) of RT-111 in healthy adult volunteers. The study enrolled 20 partcipants each in RT-111 0.5mg and 0.75mg dose groups, and 15 partcipants in a STELARA (ustekinumab) 0.5mg subcutaneous (SC) injecton group.</w:t>
      </w:r>
    </w:p>
    <w:p>
      <w:pPr>
        <w:spacing w:after="0" w:line="11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Phase 1 Topline Results</w:t>
      </w:r>
    </w:p>
    <w:p>
      <w:pPr>
        <w:spacing w:after="0" w:line="124"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Pharmacokinetcs</w:t>
      </w:r>
    </w:p>
    <w:p>
      <w:pPr>
        <w:spacing w:after="0" w:line="136" w:lineRule="exact"/>
        <w:rPr>
          <w:sz w:val="20"/>
          <w:szCs w:val="20"/>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Calibri" w:cs="Calibri" w:eastAsia="Calibri" w:hAnsi="Calibri"/>
          <w:sz w:val="16"/>
          <w:szCs w:val="16"/>
          <w:color w:val="auto"/>
        </w:rPr>
        <w:t>Oral RT-111 delivered ustekinumab biosimilar in a dose proportonal manner and with high bioavailability (estmated at 84% relatve to subcutaneous injecton).</w:t>
      </w:r>
    </w:p>
    <w:p>
      <w:pPr>
        <w:spacing w:after="0" w:line="10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Calibri" w:cs="Calibri" w:eastAsia="Calibri" w:hAnsi="Calibri"/>
          <w:sz w:val="16"/>
          <w:szCs w:val="16"/>
          <w:color w:val="auto"/>
        </w:rPr>
        <w:t>Oral RT-111 demonstrated a higher Cmax and shorter Tmax compared to ustekinumab delivered by SC injecton (0.5mg).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60960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6"/>
          <w:szCs w:val="16"/>
          <w:b w:val="1"/>
          <w:bCs w:val="1"/>
          <w:color w:val="auto"/>
        </w:rPr>
        <w:t>Pharmacokinetcs of Ustekinumab (CT-P43)</w:t>
      </w:r>
    </w:p>
    <w:p>
      <w:pPr>
        <w:jc w:val="center"/>
        <w:ind w:right="-39"/>
        <w:spacing w:after="0" w:line="232" w:lineRule="auto"/>
        <w:rPr>
          <w:sz w:val="20"/>
          <w:szCs w:val="20"/>
          <w:color w:val="auto"/>
        </w:rPr>
      </w:pPr>
      <w:r>
        <w:rPr>
          <w:rFonts w:ascii="Calibri" w:cs="Calibri" w:eastAsia="Calibri" w:hAnsi="Calibri"/>
          <w:sz w:val="16"/>
          <w:szCs w:val="16"/>
          <w:b w:val="1"/>
          <w:bCs w:val="1"/>
          <w:color w:val="auto"/>
        </w:rPr>
        <w:t>Oral (RT-111) vs SC Injecton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133985</wp:posOffset>
            </wp:positionV>
            <wp:extent cx="2583180" cy="147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83180" cy="147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8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780" w:type="dxa"/>
            <w:vAlign w:val="bottom"/>
            <w:tcBorders>
              <w:top w:val="single" w:sz="8" w:color="auto"/>
              <w:bottom w:val="single" w:sz="8" w:color="auto"/>
              <w:right w:val="single" w:sz="8" w:color="auto"/>
            </w:tcBorders>
          </w:tcPr>
          <w:p>
            <w:pPr>
              <w:ind w:left="800"/>
              <w:spacing w:after="0" w:line="225" w:lineRule="exact"/>
              <w:rPr>
                <w:sz w:val="20"/>
                <w:szCs w:val="20"/>
                <w:color w:val="auto"/>
              </w:rPr>
            </w:pPr>
            <w:r>
              <w:rPr>
                <w:rFonts w:ascii="Calibri" w:cs="Calibri" w:eastAsia="Calibri" w:hAnsi="Calibri"/>
                <w:sz w:val="16"/>
                <w:szCs w:val="16"/>
                <w:color w:val="auto"/>
              </w:rPr>
              <w:t>Stelara</w:t>
            </w:r>
            <w:r>
              <w:rPr>
                <w:rFonts w:ascii="Calibri" w:cs="Calibri" w:eastAsia="Calibri" w:hAnsi="Calibri"/>
                <w:sz w:val="21"/>
                <w:szCs w:val="21"/>
                <w:color w:val="auto"/>
                <w:vertAlign w:val="superscript"/>
              </w:rPr>
              <w:t>®</w:t>
            </w:r>
            <w:r>
              <w:rPr>
                <w:rFonts w:ascii="Calibri" w:cs="Calibri" w:eastAsia="Calibri" w:hAnsi="Calibri"/>
                <w:sz w:val="16"/>
                <w:szCs w:val="16"/>
                <w:color w:val="auto"/>
              </w:rPr>
              <w:t xml:space="preserve"> SC 0.50mg</w:t>
            </w:r>
          </w:p>
        </w:tc>
        <w:tc>
          <w:tcPr>
            <w:tcW w:w="2780" w:type="dxa"/>
            <w:vAlign w:val="bottom"/>
            <w:tcBorders>
              <w:top w:val="single" w:sz="8" w:color="auto"/>
              <w:bottom w:val="single" w:sz="8" w:color="auto"/>
              <w:right w:val="single" w:sz="8" w:color="auto"/>
            </w:tcBorders>
          </w:tcPr>
          <w:p>
            <w:pPr>
              <w:ind w:left="920"/>
              <w:spacing w:after="0"/>
              <w:rPr>
                <w:sz w:val="20"/>
                <w:szCs w:val="20"/>
                <w:color w:val="auto"/>
              </w:rPr>
            </w:pPr>
            <w:r>
              <w:rPr>
                <w:rFonts w:ascii="Calibri" w:cs="Calibri" w:eastAsia="Calibri" w:hAnsi="Calibri"/>
                <w:sz w:val="16"/>
                <w:szCs w:val="16"/>
                <w:color w:val="auto"/>
              </w:rPr>
              <w:t>RT-111 0.50mg</w:t>
            </w:r>
          </w:p>
        </w:tc>
        <w:tc>
          <w:tcPr>
            <w:tcW w:w="2780" w:type="dxa"/>
            <w:vAlign w:val="bottom"/>
            <w:tcBorders>
              <w:top w:val="single" w:sz="8" w:color="auto"/>
              <w:bottom w:val="single" w:sz="8" w:color="auto"/>
              <w:right w:val="single" w:sz="8" w:color="auto"/>
            </w:tcBorders>
          </w:tcPr>
          <w:p>
            <w:pPr>
              <w:ind w:left="920"/>
              <w:spacing w:after="0"/>
              <w:rPr>
                <w:sz w:val="20"/>
                <w:szCs w:val="20"/>
                <w:color w:val="auto"/>
              </w:rPr>
            </w:pPr>
            <w:r>
              <w:rPr>
                <w:rFonts w:ascii="Calibri" w:cs="Calibri" w:eastAsia="Calibri" w:hAnsi="Calibri"/>
                <w:sz w:val="16"/>
                <w:szCs w:val="16"/>
                <w:color w:val="auto"/>
              </w:rPr>
              <w:t>RT-111 0.75mg</w:t>
            </w:r>
          </w:p>
        </w:tc>
      </w:tr>
      <w:tr>
        <w:trPr>
          <w:trHeight w:val="166"/>
        </w:trPr>
        <w:tc>
          <w:tcPr>
            <w:tcW w:w="2800" w:type="dxa"/>
            <w:vAlign w:val="bottom"/>
            <w:tcBorders>
              <w:left w:val="single" w:sz="8" w:color="auto"/>
              <w:right w:val="single" w:sz="8" w:color="auto"/>
            </w:tcBorders>
          </w:tcPr>
          <w:p>
            <w:pPr>
              <w:ind w:left="100"/>
              <w:spacing w:after="0" w:line="167" w:lineRule="exact"/>
              <w:rPr>
                <w:sz w:val="20"/>
                <w:szCs w:val="20"/>
                <w:color w:val="auto"/>
              </w:rPr>
            </w:pPr>
            <w:r>
              <w:rPr>
                <w:rFonts w:ascii="Calibri" w:cs="Calibri" w:eastAsia="Calibri" w:hAnsi="Calibri"/>
                <w:sz w:val="16"/>
                <w:szCs w:val="16"/>
                <w:color w:val="auto"/>
              </w:rPr>
              <w:t>Cmax (ng/mL)</w:t>
            </w:r>
          </w:p>
        </w:tc>
        <w:tc>
          <w:tcPr>
            <w:tcW w:w="278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6"/>
                <w:szCs w:val="16"/>
                <w:color w:val="auto"/>
                <w:w w:val="95"/>
              </w:rPr>
              <w:t>56 ± 4</w:t>
            </w:r>
          </w:p>
        </w:tc>
        <w:tc>
          <w:tcPr>
            <w:tcW w:w="278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6"/>
                <w:szCs w:val="16"/>
                <w:color w:val="auto"/>
                <w:w w:val="95"/>
              </w:rPr>
              <w:t>67 ± 7</w:t>
            </w:r>
          </w:p>
        </w:tc>
        <w:tc>
          <w:tcPr>
            <w:tcW w:w="278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6"/>
                <w:szCs w:val="16"/>
                <w:color w:val="auto"/>
              </w:rPr>
              <w:t>92 ± 8</w:t>
            </w:r>
          </w:p>
        </w:tc>
      </w:tr>
      <w:tr>
        <w:trPr>
          <w:trHeight w:val="23"/>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178"/>
        </w:trPr>
        <w:tc>
          <w:tcPr>
            <w:tcW w:w="2800" w:type="dxa"/>
            <w:vAlign w:val="bottom"/>
            <w:tcBorders>
              <w:left w:val="single" w:sz="8" w:color="auto"/>
              <w:right w:val="single" w:sz="8" w:color="auto"/>
            </w:tcBorders>
          </w:tcPr>
          <w:p>
            <w:pPr>
              <w:ind w:left="100"/>
              <w:spacing w:after="0" w:line="178" w:lineRule="exact"/>
              <w:rPr>
                <w:sz w:val="20"/>
                <w:szCs w:val="20"/>
                <w:color w:val="auto"/>
              </w:rPr>
            </w:pPr>
            <w:r>
              <w:rPr>
                <w:rFonts w:ascii="Calibri" w:cs="Calibri" w:eastAsia="Calibri" w:hAnsi="Calibri"/>
                <w:sz w:val="16"/>
                <w:szCs w:val="16"/>
                <w:color w:val="auto"/>
              </w:rPr>
              <w:t>Tmax (days)</w:t>
            </w:r>
          </w:p>
        </w:tc>
        <w:tc>
          <w:tcPr>
            <w:tcW w:w="27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6"/>
              </w:rPr>
              <w:t>10 ± 0.8</w:t>
            </w:r>
          </w:p>
        </w:tc>
        <w:tc>
          <w:tcPr>
            <w:tcW w:w="27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4"/>
              </w:rPr>
              <w:t>3.1 ± 0.2*</w:t>
            </w:r>
          </w:p>
        </w:tc>
        <w:tc>
          <w:tcPr>
            <w:tcW w:w="27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4"/>
              </w:rPr>
              <w:t>3.3 ± 0.2*</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178"/>
        </w:trPr>
        <w:tc>
          <w:tcPr>
            <w:tcW w:w="2800" w:type="dxa"/>
            <w:vAlign w:val="bottom"/>
            <w:tcBorders>
              <w:left w:val="single" w:sz="8" w:color="auto"/>
              <w:right w:val="single" w:sz="8" w:color="auto"/>
            </w:tcBorders>
          </w:tcPr>
          <w:p>
            <w:pPr>
              <w:ind w:left="100"/>
              <w:spacing w:after="0" w:line="178" w:lineRule="exact"/>
              <w:rPr>
                <w:sz w:val="20"/>
                <w:szCs w:val="20"/>
                <w:color w:val="auto"/>
              </w:rPr>
            </w:pPr>
            <w:r>
              <w:rPr>
                <w:rFonts w:ascii="Calibri" w:cs="Calibri" w:eastAsia="Calibri" w:hAnsi="Calibri"/>
                <w:sz w:val="16"/>
                <w:szCs w:val="16"/>
                <w:color w:val="auto"/>
              </w:rPr>
              <w:t>AUC (day*ng/mL)</w:t>
            </w:r>
          </w:p>
        </w:tc>
        <w:tc>
          <w:tcPr>
            <w:tcW w:w="27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4"/>
              </w:rPr>
              <w:t>1,566 ± 130</w:t>
            </w:r>
          </w:p>
        </w:tc>
        <w:tc>
          <w:tcPr>
            <w:tcW w:w="27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4"/>
              </w:rPr>
              <w:t>1,315 ± 150</w:t>
            </w:r>
          </w:p>
        </w:tc>
        <w:tc>
          <w:tcPr>
            <w:tcW w:w="27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4"/>
              </w:rPr>
              <w:t>1,814 ± 165</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6"/>
          <w:szCs w:val="16"/>
          <w:color w:val="auto"/>
        </w:rPr>
        <w:t>Data are Mean ± SE from all subjects, including those with ant-drug antbodies. *p&lt;0.0001 signifcantly diferent from SC group.</w:t>
      </w:r>
    </w:p>
    <w:p>
      <w:pPr>
        <w:spacing w:after="0" w:line="100" w:lineRule="exact"/>
        <w:rPr>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Calibri" w:cs="Calibri" w:eastAsia="Calibri" w:hAnsi="Calibri"/>
          <w:sz w:val="16"/>
          <w:szCs w:val="16"/>
          <w:color w:val="auto"/>
        </w:rPr>
        <w:t>RT-111 was well-tolerated by all partcipants in the two RT-111 groups, and no serious adverse events were observed in the study.</w:t>
      </w:r>
    </w:p>
    <w:p>
      <w:pPr>
        <w:spacing w:after="0" w:line="10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Calibri" w:cs="Calibri" w:eastAsia="Calibri" w:hAnsi="Calibri"/>
          <w:sz w:val="16"/>
          <w:szCs w:val="16"/>
          <w:color w:val="auto"/>
        </w:rPr>
        <w:t>There was no meaningful diference in incidence of ant-drug antbodies (ADA) via RaniPill® route of delivery, compared to STELARA® SC injecton</w:t>
      </w:r>
    </w:p>
    <w:p>
      <w:pPr>
        <w:spacing w:after="0" w:line="10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Calibri" w:cs="Calibri" w:eastAsia="Calibri" w:hAnsi="Calibri"/>
          <w:sz w:val="16"/>
          <w:szCs w:val="16"/>
          <w:color w:val="auto"/>
        </w:rPr>
        <w:t>No partcipants reported difculty swallowing the capsule and capsule remnants passed from all partcipants without sequelae.</w:t>
      </w:r>
    </w:p>
    <w:p>
      <w:pPr>
        <w:spacing w:after="0" w:line="133" w:lineRule="exact"/>
        <w:rPr>
          <w:sz w:val="20"/>
          <w:szCs w:val="20"/>
          <w:color w:val="auto"/>
        </w:rPr>
      </w:pPr>
    </w:p>
    <w:p>
      <w:pPr>
        <w:jc w:val="both"/>
        <w:ind w:right="320"/>
        <w:spacing w:after="0" w:line="231" w:lineRule="auto"/>
        <w:rPr>
          <w:sz w:val="20"/>
          <w:szCs w:val="20"/>
          <w:color w:val="auto"/>
        </w:rPr>
      </w:pPr>
      <w:r>
        <w:rPr>
          <w:rFonts w:ascii="Calibri" w:cs="Calibri" w:eastAsia="Calibri" w:hAnsi="Calibri"/>
          <w:sz w:val="16"/>
          <w:szCs w:val="16"/>
          <w:color w:val="auto"/>
        </w:rPr>
        <w:t>The ustekinumab biosimilar used in RT-111 is manufactured and supplied by Celltrion, Inc. (“Celltrion”) under Rani’s License and Supply Agreement with Celltrion announced in January 2023. Under that agreement, Celltrion exclusively supplies to Rani the ustekinumab biosimilar drug substance (CT-P43) required for RT-111. Rani is granted an exclusive license to use CT-P43 in the development and commercializaton of RT-111, and Celltrion is granted a right of frst negotaton to acquire worldwide rights to RT-111 following a Phase 1 clinical trial that meets its primary endpoint(s).</w:t>
      </w:r>
    </w:p>
    <w:p>
      <w:pPr>
        <w:spacing w:after="0" w:line="11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Conference Call</w:t>
      </w:r>
    </w:p>
    <w:p>
      <w:pPr>
        <w:spacing w:after="0" w:line="133" w:lineRule="exact"/>
        <w:rPr>
          <w:sz w:val="20"/>
          <w:szCs w:val="20"/>
          <w:color w:val="auto"/>
        </w:rPr>
      </w:pPr>
    </w:p>
    <w:p>
      <w:pPr>
        <w:spacing w:after="0" w:line="231" w:lineRule="auto"/>
        <w:rPr>
          <w:sz w:val="20"/>
          <w:szCs w:val="20"/>
          <w:color w:val="auto"/>
        </w:rPr>
      </w:pPr>
      <w:r>
        <w:rPr>
          <w:rFonts w:ascii="Calibri" w:cs="Calibri" w:eastAsia="Calibri" w:hAnsi="Calibri"/>
          <w:sz w:val="16"/>
          <w:szCs w:val="16"/>
          <w:color w:val="auto"/>
        </w:rPr>
        <w:t>Rani will host a corresponding conference call and live webcast at 8:30 a.m. ET / 5:30 a.m. PT on February 5, 2024, to discuss the results from its Phase 1 clinical trial of RT-111. Individuals interested in listening to the live conference call may do so by using the webcast link in the “Investors” secton of the company’s website at www.ranitherapeutcs.com. A webcast replay will be available in the investor relatons secton on the company’s website for 90 days following the completon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83820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 w:name="page7"/>
    <w:bookmarkEnd w:id="6"/>
    <w:p>
      <w:pPr>
        <w:spacing w:after="0"/>
        <w:rPr>
          <w:sz w:val="20"/>
          <w:szCs w:val="20"/>
          <w:color w:val="auto"/>
        </w:rPr>
      </w:pPr>
      <w:r>
        <w:rPr>
          <w:rFonts w:ascii="Calibri" w:cs="Calibri" w:eastAsia="Calibri" w:hAnsi="Calibri"/>
          <w:sz w:val="16"/>
          <w:szCs w:val="16"/>
          <w:b w:val="1"/>
          <w:bCs w:val="1"/>
          <w:color w:val="auto"/>
        </w:rPr>
        <w:t>About Rani Therapeutcs</w:t>
      </w:r>
    </w:p>
    <w:p>
      <w:pPr>
        <w:spacing w:after="0" w:line="133" w:lineRule="exact"/>
        <w:rPr>
          <w:sz w:val="20"/>
          <w:szCs w:val="20"/>
          <w:color w:val="auto"/>
        </w:rPr>
      </w:pPr>
    </w:p>
    <w:p>
      <w:pPr>
        <w:spacing w:after="0" w:line="231" w:lineRule="auto"/>
        <w:rPr>
          <w:sz w:val="20"/>
          <w:szCs w:val="20"/>
          <w:color w:val="auto"/>
        </w:rPr>
      </w:pPr>
      <w:r>
        <w:rPr>
          <w:rFonts w:ascii="Calibri" w:cs="Calibri" w:eastAsia="Calibri" w:hAnsi="Calibri"/>
          <w:sz w:val="16"/>
          <w:szCs w:val="16"/>
          <w:color w:val="auto"/>
        </w:rPr>
        <w:t>Rani Therapeutcs is a clinical-stage biotherapeutcs company focused on advancing technologies to enable the development of orally administered biologics and drugs. Rani has developed the RaniPill® capsule, which is a novel, proprietary and patented platorm technology, intended to replace subcutaneous injecton or intravenous infusion of biologics and drugs with oral dosing. Rani has successfully conducted several preclinical and clinical studies to evaluate safety, tolerability and bioavailability using RaniPill® capsule technology. For more informaton, visit www.ranitherapeutcs.com.</w:t>
      </w:r>
    </w:p>
    <w:p>
      <w:pPr>
        <w:spacing w:after="0" w:line="11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Forward-Looking Statements</w:t>
      </w:r>
    </w:p>
    <w:p>
      <w:pPr>
        <w:spacing w:after="0" w:line="133" w:lineRule="exact"/>
        <w:rPr>
          <w:sz w:val="20"/>
          <w:szCs w:val="20"/>
          <w:color w:val="auto"/>
        </w:rPr>
      </w:pPr>
    </w:p>
    <w:p>
      <w:pPr>
        <w:ind w:right="20"/>
        <w:spacing w:after="0" w:line="232" w:lineRule="auto"/>
        <w:rPr>
          <w:sz w:val="20"/>
          <w:szCs w:val="20"/>
          <w:color w:val="auto"/>
        </w:rPr>
      </w:pPr>
      <w:r>
        <w:rPr>
          <w:rFonts w:ascii="Calibri" w:cs="Calibri" w:eastAsia="Calibri" w:hAnsi="Calibri"/>
          <w:sz w:val="16"/>
          <w:szCs w:val="16"/>
          <w:color w:val="auto"/>
        </w:rPr>
        <w:t>Statements contained in this press release regarding maters that are not historical facts are “forward-looking statements” within the meaning of the Private Securites Litgaton Reform Act of 1995. Such forward-looking statements include statements regarding, among other things, the potental for RT-111 to be an alternatve oral treatment opton compared to burdensome injectables for autoimmune conditons, and the potental for Rani to make oral biologics a reality for millions of patents living with autoimmune conditons. Because such statements are subject to risks and uncertaintes, actual results may difer materially from those expressed or implied by such forward-looking statements. Words such as “intend” and “potental” and similar expressions are intended to identfy forward-looking statements. These forward-looking statements are based upon Rani’s current expectatons and involve assumptons that may never materialize or may prove to be incorrect. Actual results could difer materially from those antcipated in such forward-looking statements as a result of various risks and uncertaintes, which include, without limitaton, risks and uncertaintes associated with Rani’s business in general and the other risks described in Rani’s flings with the Securites and Exchange Commission, including Rani’s annual report on Form 10-K for the year ended December 31, 2022, and subsequent flings and reports by Rani. All forward-looking statements contained in this press release speak only as of the date on which they were made and are based on management’s assumptons and estmates as of such date. Rani undertakes no obligaton to update such statements to refect events that occur or circumstances that exist afer the date on which they were made, except as required by law.</w:t>
      </w:r>
    </w:p>
    <w:p>
      <w:pPr>
        <w:spacing w:after="0" w:line="12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Investor Contact:</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color w:val="0563C1"/>
        </w:rPr>
        <w:t>investors@ranitherapeutcs.com</w:t>
      </w:r>
    </w:p>
    <w:p>
      <w:pPr>
        <w:spacing w:after="0" w:line="12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Media Contact:</w:t>
      </w:r>
    </w:p>
    <w:p>
      <w:pPr>
        <w:spacing w:after="0" w:line="124" w:lineRule="exact"/>
        <w:rPr>
          <w:sz w:val="20"/>
          <w:szCs w:val="20"/>
          <w:color w:val="auto"/>
        </w:rPr>
      </w:pPr>
    </w:p>
    <w:p>
      <w:pPr>
        <w:spacing w:after="0"/>
        <w:rPr>
          <w:sz w:val="20"/>
          <w:szCs w:val="20"/>
          <w:color w:val="auto"/>
        </w:rPr>
      </w:pPr>
      <w:r>
        <w:rPr>
          <w:rFonts w:ascii="Calibri" w:cs="Calibri" w:eastAsia="Calibri" w:hAnsi="Calibri"/>
          <w:sz w:val="16"/>
          <w:szCs w:val="16"/>
          <w:color w:val="0563C1"/>
        </w:rPr>
        <w:t>media@ranitherapeutcs.com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75565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2024-02-05T07:22:31Z</dcterms:created>
  <dcterms:modified xsi:type="dcterms:W3CDTF">2024-02-05T07:22:31Z</dcterms:modified>
</cp:coreProperties>
</file>