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20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20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827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Imran Talat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827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RANI THERAPEUTICS LLC 2051 RINGWOOD AVE.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827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829,435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4"/>
                <w:vertAlign w:val="superscript"/>
              </w:rPr>
              <w:t>(1)(2)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Class A Common LLC Units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43,421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07/28/2031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78,877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9.45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(5)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 directly and indirectly.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40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Represents 378,533 shares of Class A Common Stock of the Issuer ("Class A Shares") held by Biologix Partners, LP and 450,902 Class A Shares held by VH Rani, LP. The Reporting Person disclaims beneficial ownership of these securities except to the extent of his pecuniary interest therein.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220" w:firstLine="5"/>
        <w:spacing w:after="0" w:line="288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Class A Common LLC Units of Rani Therapeutics, LLC, a direct subsidiary of the Issuer. The Class A Common LLC Units are exchangeable for shares of Class A Common Stock on a one-for-one basis at the discretion of the holder, subject to certain exceptions, conditions and adjustments, and have no expiration date.</w:t>
      </w:r>
    </w:p>
    <w:p>
      <w:pPr>
        <w:spacing w:after="0" w:line="3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the option vest as follows: 1/48th of the shares subject to the option vest monthly over four years from June 17, 2021.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exercise price of the Stock Option.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Josh Seidenfeld,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Attorney-in-Fact for Talat  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Imran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8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9579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2021-08-02T18:28:41Z</dcterms:created>
  <dcterms:modified xsi:type="dcterms:W3CDTF">2021-08-02T18:28:41Z</dcterms:modified>
</cp:coreProperties>
</file>