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26,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77470</wp:posOffset>
            </wp:positionV>
            <wp:extent cx="1611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81280</wp:posOffset>
            </wp:positionV>
            <wp:extent cx="1611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81915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p>
      <w:pPr>
        <w:spacing w:after="0" w:line="26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2">
            <w:col w:w="7980" w:space="720"/>
            <w:col w:w="2500"/>
          </w:cols>
          <w:pgMar w:left="320" w:top="549" w:right="37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6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2">
            <w:col w:w="7840" w:space="720"/>
            <w:col w:w="2640"/>
          </w:cols>
          <w:pgMar w:left="320" w:top="549" w:right="37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ectPr>
          <w:pgSz w:w="11900" w:h="16838" w:orient="portrait"/>
          <w:cols w:equalWidth="0" w:num="1">
            <w:col w:w="11200"/>
          </w:cols>
          <w:pgMar w:left="320" w:top="549" w:right="379" w:bottom="1440" w:gutter="0" w:footer="0" w:header="0"/>
          <w:type w:val="continuous"/>
        </w:sectPr>
      </w:pP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Rani Therapeutics Holdings, Inc. 2021 Equity Incentive Plan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Rani Therapeutics Holdings, Inc. 2021 Employee Stock Purchase Plan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151765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Talat Imran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(408) 457-3700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Josh Seidenfeld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3175 Hanover Street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194310</wp:posOffset>
            </wp:positionV>
            <wp:extent cx="1611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60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w:t>
            </w:r>
          </w:p>
        </w:tc>
        <w:tc>
          <w:tcPr>
            <w:tcW w:w="40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rPr>
                <w:sz w:val="20"/>
                <w:szCs w:val="20"/>
                <w:color w:val="auto"/>
              </w:rPr>
            </w:pPr>
            <w:r>
              <w:rPr>
                <w:rFonts w:ascii="Wingdings" w:cs="Wingdings" w:eastAsia="Wingdings" w:hAnsi="Wingdings"/>
                <w:sz w:val="18"/>
                <w:szCs w:val="18"/>
                <w:b w:val="1"/>
                <w:bCs w:val="1"/>
                <w:color w:val="auto"/>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w:t>
            </w:r>
          </w:p>
        </w:tc>
      </w:tr>
      <w:tr>
        <w:trPr>
          <w:trHeight w:val="234"/>
        </w:trPr>
        <w:tc>
          <w:tcPr>
            <w:tcW w:w="4240" w:type="dxa"/>
            <w:vAlign w:val="bottom"/>
          </w:tcPr>
          <w:p>
            <w:pPr>
              <w:spacing w:after="0"/>
              <w:rPr>
                <w:sz w:val="20"/>
                <w:szCs w:val="20"/>
                <w:color w:val="auto"/>
              </w:rPr>
            </w:pP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tc>
      </w:tr>
    </w:tbl>
    <w:p>
      <w:pPr>
        <w:spacing w:after="0" w:line="9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 AND GENERAL INSTRUCTION E INFORMATION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Registrant is filing this Registration Statement on Form S-8 for the purpose of registering an additional 6,079,622 shares of Class A common stock under the Rani Therapeutics Holdings, Inc. 2021 Equity Incentive Plan and an additional 100,000 shares of Class A common stock under the Rani Therapeutics Holdings, Inc. 2021 Employee Stock Purchase Plan, pursuant to the provisions of each plan which provide for annual automatic increases in the number of shares of Class A common stock reserved for issuance under each respective plan.</w:t>
      </w:r>
    </w:p>
    <w:p>
      <w:pPr>
        <w:spacing w:after="0" w:line="180" w:lineRule="exact"/>
        <w:rPr>
          <w:sz w:val="20"/>
          <w:szCs w:val="20"/>
          <w:color w:val="auto"/>
        </w:rPr>
      </w:pPr>
    </w:p>
    <w:p>
      <w:pPr>
        <w:ind w:firstLine="749"/>
        <w:spacing w:after="0" w:line="256"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Registration Statement is being filed for the purpose of increasing the number of securities of the same class as other securities for which Registration Statements on Form S-8 of the Registrant relating to the same employee benefit plans set forth herein are effective. Pursuant to General Instruction E of Form S-8, this Registration Statement incorporates by reference the contents of the registration statements on Form S-8 relating to the 2021 </w:t>
      </w:r>
      <w:hyperlink r:id="rId17">
        <w:r>
          <w:rPr>
            <w:rFonts w:ascii="Times New Roman" w:cs="Times New Roman" w:eastAsia="Times New Roman" w:hAnsi="Times New Roman"/>
            <w:sz w:val="18"/>
            <w:szCs w:val="18"/>
            <w:color w:val="auto"/>
          </w:rPr>
          <w:t>Equity Incentive Plan and the 2021 Employee Stock Purchase Plan filed by the Registrant with the Securities and Exchange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0000FF"/>
          </w:rPr>
          <w:t>August 3, 2021</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(File No. 333-2584150)</w:t>
        </w:r>
        <w:r>
          <w:rPr>
            <w:rFonts w:ascii="Times New Roman" w:cs="Times New Roman" w:eastAsia="Times New Roman" w:hAnsi="Times New Roman"/>
            <w:sz w:val="18"/>
            <w:szCs w:val="18"/>
            <w:color w:val="000000"/>
          </w:rPr>
          <w:t>, on</w:t>
        </w:r>
        <w:r>
          <w:rPr>
            <w:rFonts w:ascii="Times New Roman" w:cs="Times New Roman" w:eastAsia="Times New Roman" w:hAnsi="Times New Roman"/>
            <w:sz w:val="18"/>
            <w:szCs w:val="18"/>
            <w:color w:val="0000FF"/>
          </w:rPr>
          <w:t xml:space="preserve"> </w:t>
        </w:r>
      </w:hyperlink>
      <w:hyperlink r:id="rId18">
        <w:r>
          <w:rPr>
            <w:rFonts w:ascii="Times New Roman" w:cs="Times New Roman" w:eastAsia="Times New Roman" w:hAnsi="Times New Roman"/>
            <w:sz w:val="18"/>
            <w:szCs w:val="18"/>
            <w:u w:val="single" w:color="auto"/>
            <w:color w:val="0000FF"/>
          </w:rPr>
          <w:t>March 31, 2022 (File No. 333-264018)</w:t>
        </w:r>
      </w:hyperlink>
      <w:hyperlink r:id="rId17">
        <w:r>
          <w:rPr>
            <w:rFonts w:ascii="Times New Roman" w:cs="Times New Roman" w:eastAsia="Times New Roman" w:hAnsi="Times New Roman"/>
            <w:sz w:val="18"/>
            <w:szCs w:val="18"/>
            <w:color w:val="000000"/>
          </w:rPr>
          <w:t>, on</w:t>
        </w:r>
        <w:r>
          <w:rPr>
            <w:rFonts w:ascii="Times New Roman" w:cs="Times New Roman" w:eastAsia="Times New Roman" w:hAnsi="Times New Roman"/>
            <w:sz w:val="18"/>
            <w:szCs w:val="18"/>
            <w:color w:val="0000FF"/>
          </w:rPr>
          <w:t xml:space="preserve"> </w:t>
        </w:r>
      </w:hyperlink>
      <w:hyperlink r:id="rId19">
        <w:r>
          <w:rPr>
            <w:rFonts w:ascii="Times New Roman" w:cs="Times New Roman" w:eastAsia="Times New Roman" w:hAnsi="Times New Roman"/>
            <w:sz w:val="18"/>
            <w:szCs w:val="18"/>
            <w:u w:val="single" w:color="auto"/>
            <w:color w:val="0000FF"/>
          </w:rPr>
          <w:t xml:space="preserve">March 22, 2023 (File No. 333-270747) </w:t>
        </w:r>
      </w:hyperlink>
      <w:hyperlink r:id="rId17">
        <w:r>
          <w:rPr>
            <w:rFonts w:ascii="Times New Roman" w:cs="Times New Roman" w:eastAsia="Times New Roman" w:hAnsi="Times New Roman"/>
            <w:sz w:val="18"/>
            <w:szCs w:val="18"/>
            <w:color w:val="000000"/>
          </w:rPr>
          <w:t>on</w:t>
        </w:r>
        <w:r>
          <w:rPr>
            <w:rFonts w:ascii="Times New Roman" w:cs="Times New Roman" w:eastAsia="Times New Roman" w:hAnsi="Times New Roman"/>
            <w:sz w:val="18"/>
            <w:szCs w:val="18"/>
            <w:color w:val="0000FF"/>
          </w:rPr>
          <w:t xml:space="preserve"> </w:t>
        </w:r>
      </w:hyperlink>
      <w:hyperlink r:id="rId20">
        <w:r>
          <w:rPr>
            <w:rFonts w:ascii="Times New Roman" w:cs="Times New Roman" w:eastAsia="Times New Roman" w:hAnsi="Times New Roman"/>
            <w:sz w:val="18"/>
            <w:szCs w:val="18"/>
            <w:u w:val="single" w:color="auto"/>
            <w:color w:val="0000FF"/>
          </w:rPr>
          <w:t>March 20, 2024 (File No. 333-278116)</w:t>
        </w:r>
      </w:hyperlink>
      <w:hyperlink r:id="rId17">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and on </w:t>
      </w:r>
      <w:hyperlink r:id="rId21">
        <w:r>
          <w:rPr>
            <w:rFonts w:ascii="Times New Roman" w:cs="Times New Roman" w:eastAsia="Times New Roman" w:hAnsi="Times New Roman"/>
            <w:sz w:val="18"/>
            <w:szCs w:val="18"/>
            <w:u w:val="single" w:color="auto"/>
            <w:color w:val="0000FF"/>
          </w:rPr>
          <w:t>March 31, 2025 (File No. 333-286262)</w:t>
        </w:r>
      </w:hyperlink>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Certain Documents By Reference.</w:t>
      </w:r>
    </w:p>
    <w:p>
      <w:pPr>
        <w:spacing w:after="0" w:line="225" w:lineRule="exact"/>
        <w:rPr>
          <w:sz w:val="20"/>
          <w:szCs w:val="20"/>
          <w:color w:val="auto"/>
        </w:rPr>
      </w:pPr>
    </w:p>
    <w:p>
      <w:pPr>
        <w:ind w:right="120" w:firstLine="749"/>
        <w:spacing w:after="0" w:line="286" w:lineRule="auto"/>
        <w:rPr>
          <w:sz w:val="20"/>
          <w:szCs w:val="20"/>
          <w:color w:val="auto"/>
        </w:rPr>
      </w:pPr>
      <w:r>
        <w:rPr>
          <w:rFonts w:ascii="Times New Roman" w:cs="Times New Roman" w:eastAsia="Times New Roman" w:hAnsi="Times New Roman"/>
          <w:sz w:val="18"/>
          <w:szCs w:val="18"/>
          <w:color w:val="auto"/>
        </w:rPr>
        <w:t>The following documents filed by Rani Therapeutics Holdings,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with the Commission are incorporated by reference into this Registration Statement:</w:t>
      </w:r>
    </w:p>
    <w:p>
      <w:pPr>
        <w:spacing w:after="0" w:line="51" w:lineRule="exact"/>
        <w:rPr>
          <w:sz w:val="20"/>
          <w:szCs w:val="20"/>
          <w:color w:val="auto"/>
        </w:rPr>
      </w:pPr>
    </w:p>
    <w:p>
      <w:pPr>
        <w:ind w:left="1020" w:hanging="263"/>
        <w:spacing w:after="0"/>
        <w:tabs>
          <w:tab w:leader="none" w:pos="10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Registrant’s Annual Report on </w:t>
      </w:r>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auto"/>
        </w:rPr>
        <w:t xml:space="preserve"> for the year ended December 31, 2025, filed with the SEC on March 26, 2026;</w:t>
      </w:r>
    </w:p>
    <w:p>
      <w:pPr>
        <w:spacing w:after="0" w:line="117"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Our Current Report on </w:t>
      </w:r>
      <w:r>
        <w:rPr>
          <w:rFonts w:ascii="Times New Roman" w:cs="Times New Roman" w:eastAsia="Times New Roman" w:hAnsi="Times New Roman"/>
          <w:sz w:val="18"/>
          <w:szCs w:val="18"/>
          <w:u w:val="single" w:color="auto"/>
          <w:color w:val="0000FF"/>
        </w:rPr>
        <w:t>Form 8-K</w:t>
      </w:r>
      <w:r>
        <w:rPr>
          <w:rFonts w:ascii="Times New Roman" w:cs="Times New Roman" w:eastAsia="Times New Roman" w:hAnsi="Times New Roman"/>
          <w:sz w:val="18"/>
          <w:szCs w:val="18"/>
          <w:color w:val="auto"/>
        </w:rPr>
        <w:t xml:space="preserve"> filed with the SEC on January 2, 2026; and</w:t>
      </w:r>
    </w:p>
    <w:p>
      <w:pPr>
        <w:spacing w:after="0" w:line="225" w:lineRule="exact"/>
        <w:rPr>
          <w:rFonts w:ascii="Times New Roman" w:cs="Times New Roman" w:eastAsia="Times New Roman" w:hAnsi="Times New Roman"/>
          <w:sz w:val="18"/>
          <w:szCs w:val="18"/>
          <w:b w:val="1"/>
          <w:bCs w:val="1"/>
          <w:color w:val="auto"/>
        </w:rPr>
      </w:pPr>
    </w:p>
    <w:p>
      <w:pPr>
        <w:ind w:right="500" w:firstLine="757"/>
        <w:spacing w:after="0" w:line="266" w:lineRule="auto"/>
        <w:tabs>
          <w:tab w:leader="none" w:pos="101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description of the Registrant’s Class A common stock which is contained in a registration statement on </w:t>
      </w:r>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color w:val="auto"/>
        </w:rPr>
        <w:t xml:space="preserve"> filed with the Commission on July 26, 2021 (File No. 001-40672) under Section 12(b)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including any amendment or report filed for the purpose of updating such description.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other reports and documents subsequently filed with the Commission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4"/>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Schedule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9"/>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360" w:type="dxa"/>
            <w:vAlign w:val="bottom"/>
            <w:gridSpan w:val="12"/>
          </w:tcPr>
          <w:p>
            <w:pPr>
              <w:ind w:left="9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8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6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75"/>
        </w:trPr>
        <w:tc>
          <w:tcPr>
            <w:tcW w:w="800" w:type="dxa"/>
            <w:vAlign w:val="bottom"/>
            <w:tcBorders>
              <w:top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480" w:type="dxa"/>
            <w:vAlign w:val="bottom"/>
            <w:tcBorders>
              <w:top w:val="single" w:sz="8" w:color="auto"/>
              <w:bottom w:val="single" w:sz="8" w:color="0000FF"/>
            </w:tcBorders>
            <w:gridSpan w:val="11"/>
          </w:tcPr>
          <w:p>
            <w:pPr>
              <w:spacing w:after="0" w:line="175" w:lineRule="exact"/>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Amended and Restated Certificate of Incorporation of the Registrant, as currently in</w:t>
              </w:r>
            </w:hyperlink>
          </w:p>
        </w:tc>
        <w:tc>
          <w:tcPr>
            <w:tcW w:w="300" w:type="dxa"/>
            <w:vAlign w:val="bottom"/>
            <w:tcBorders>
              <w:top w:val="single" w:sz="8" w:color="auto"/>
            </w:tcBorders>
            <w:gridSpan w:val="3"/>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80" w:type="dxa"/>
            <w:vAlign w:val="bottom"/>
          </w:tcPr>
          <w:p>
            <w:pPr>
              <w:spacing w:after="0"/>
              <w:rPr>
                <w:sz w:val="15"/>
                <w:szCs w:val="15"/>
                <w:color w:val="auto"/>
              </w:rPr>
            </w:pPr>
          </w:p>
        </w:tc>
        <w:tc>
          <w:tcPr>
            <w:tcW w:w="10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001-40672</w:t>
            </w:r>
          </w:p>
        </w:tc>
        <w:tc>
          <w:tcPr>
            <w:tcW w:w="160" w:type="dxa"/>
            <w:vAlign w:val="bottom"/>
          </w:tcPr>
          <w:p>
            <w:pPr>
              <w:spacing w:after="0"/>
              <w:rPr>
                <w:sz w:val="15"/>
                <w:szCs w:val="15"/>
                <w:color w:val="auto"/>
              </w:rPr>
            </w:pPr>
          </w:p>
        </w:tc>
        <w:tc>
          <w:tcPr>
            <w:tcW w:w="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6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January 2, 2026</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effect.</w:t>
              </w:r>
            </w:hyperlink>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Amended and Restated Bylaws of the Registrant, as currently in effect.</w:t>
              </w:r>
            </w:hyperlink>
          </w:p>
        </w:tc>
        <w:tc>
          <w:tcPr>
            <w:tcW w:w="1340" w:type="dxa"/>
            <w:vAlign w:val="bottom"/>
            <w:gridSpan w:val="8"/>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001-40672</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3.2</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 2026</w:t>
            </w: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25">
              <w:r>
                <w:rPr>
                  <w:rFonts w:ascii="Times New Roman" w:cs="Times New Roman" w:eastAsia="Times New Roman" w:hAnsi="Times New Roman"/>
                  <w:sz w:val="16"/>
                  <w:szCs w:val="16"/>
                  <w:color w:val="0000FF"/>
                </w:rPr>
                <w:t>Specimen Class A common stock certificate of the Registrant.</w:t>
              </w:r>
            </w:hyperlink>
          </w:p>
        </w:tc>
        <w:tc>
          <w:tcPr>
            <w:tcW w:w="1920" w:type="dxa"/>
            <w:vAlign w:val="bottom"/>
            <w:gridSpan w:val="9"/>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4.1</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r>
      <w:tr>
        <w:trPr>
          <w:trHeight w:val="209"/>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Opinion of Cooley LLP.</w:t>
            </w:r>
          </w:p>
        </w:tc>
        <w:tc>
          <w:tcPr>
            <w:tcW w:w="436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Consent of Cooley LLP (included in Exhibit 5.1).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Consent of Marcum LLP, Independent Registered Public Accounting Firm.</w:t>
            </w:r>
          </w:p>
        </w:tc>
        <w:tc>
          <w:tcPr>
            <w:tcW w:w="1060" w:type="dxa"/>
            <w:vAlign w:val="bottom"/>
            <w:gridSpan w:val="7"/>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Consent of CBIZ CPAs P.C., Independent Registered Public Accounting Firm</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9"/>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Power of Attorney (included on the signature page of this registration statement).</w:t>
            </w:r>
          </w:p>
        </w:tc>
        <w:tc>
          <w:tcPr>
            <w:tcW w:w="68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rFonts w:ascii="Times New Roman" w:cs="Times New Roman" w:eastAsia="Times New Roman" w:hAnsi="Times New Roman"/>
                <w:sz w:val="16"/>
                <w:szCs w:val="16"/>
                <w:color w:val="0000FF"/>
              </w:rPr>
            </w:pPr>
            <w:hyperlink r:id="rId26">
              <w:r>
                <w:rPr>
                  <w:rFonts w:ascii="Times New Roman" w:cs="Times New Roman" w:eastAsia="Times New Roman" w:hAnsi="Times New Roman"/>
                  <w:sz w:val="16"/>
                  <w:szCs w:val="16"/>
                  <w:color w:val="0000FF"/>
                </w:rPr>
                <w:t>Rani Therapeutics, LLC 2016 Equity Incentive Plan and forms of agreement thereunder.</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10.5</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9, 2021</w:t>
            </w: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2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Rani Therapeutics Holdings, Inc. 2021 Equity Incentive Plan.</w:t>
              </w:r>
            </w:hyperlink>
          </w:p>
        </w:tc>
        <w:tc>
          <w:tcPr>
            <w:tcW w:w="22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10.7</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8">
              <w:r>
                <w:rPr>
                  <w:rFonts w:ascii="Times New Roman" w:cs="Times New Roman" w:eastAsia="Times New Roman" w:hAnsi="Times New Roman"/>
                  <w:sz w:val="16"/>
                  <w:szCs w:val="16"/>
                  <w:color w:val="0000FF"/>
                </w:rPr>
                <w:t>Forms of Agreement under the Rani Therapeutics Holdings, Inc. 2021 Equity Incentive</w:t>
              </w:r>
            </w:hyperlink>
          </w:p>
        </w:tc>
        <w:tc>
          <w:tcPr>
            <w:tcW w:w="24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001-40672</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10.8</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31, 2022</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28">
              <w:r>
                <w:rPr>
                  <w:rFonts w:ascii="Times New Roman" w:cs="Times New Roman" w:eastAsia="Times New Roman" w:hAnsi="Times New Roman"/>
                  <w:sz w:val="16"/>
                  <w:szCs w:val="16"/>
                  <w:color w:val="0000FF"/>
                </w:rPr>
                <w:t>Plan.</w:t>
              </w:r>
            </w:hyperlink>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9"/>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15"/>
          </w:tcPr>
          <w:p>
            <w:pPr>
              <w:spacing w:after="0"/>
              <w:rPr>
                <w:rFonts w:ascii="Times New Roman" w:cs="Times New Roman" w:eastAsia="Times New Roman" w:hAnsi="Times New Roman"/>
                <w:sz w:val="16"/>
                <w:szCs w:val="16"/>
                <w:color w:val="0000FF"/>
              </w:rPr>
            </w:pPr>
            <w:hyperlink r:id="rId29">
              <w:r>
                <w:rPr>
                  <w:rFonts w:ascii="Times New Roman" w:cs="Times New Roman" w:eastAsia="Times New Roman" w:hAnsi="Times New Roman"/>
                  <w:sz w:val="16"/>
                  <w:szCs w:val="16"/>
                  <w:color w:val="0000FF"/>
                </w:rPr>
                <w:t>Rani Therapeutics Holdings, Inc. 2021 Employee Stock Purchase Plan.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333-257809</w:t>
            </w:r>
          </w:p>
        </w:tc>
        <w:tc>
          <w:tcPr>
            <w:tcW w:w="7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10.8</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26, 2021</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40" w:lineRule="exact"/>
        <w:rPr>
          <w:sz w:val="20"/>
          <w:szCs w:val="20"/>
          <w:color w:val="auto"/>
        </w:rPr>
      </w:pPr>
    </w:p>
    <w:p>
      <w:pPr>
        <w:ind w:left="960" w:hanging="926"/>
        <w:spacing w:after="0"/>
        <w:tabs>
          <w:tab w:leader="none" w:pos="96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pacing w:after="0" w:line="29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March 26, 2026.</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Talat Imran</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Talat Imran and Svai Sanford,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9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428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4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7"/>
        </w:trPr>
        <w:tc>
          <w:tcPr>
            <w:tcW w:w="4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412"/>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Talat Imran</w:t>
            </w:r>
          </w:p>
        </w:tc>
        <w:tc>
          <w:tcPr>
            <w:tcW w:w="220" w:type="dxa"/>
            <w:vAlign w:val="bottom"/>
          </w:tcPr>
          <w:p>
            <w:pPr>
              <w:spacing w:after="0"/>
              <w:rPr>
                <w:sz w:val="24"/>
                <w:szCs w:val="24"/>
                <w:color w:val="auto"/>
              </w:rPr>
            </w:pPr>
          </w:p>
        </w:tc>
        <w:tc>
          <w:tcPr>
            <w:tcW w:w="4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Talat Imran</w:t>
            </w:r>
          </w:p>
        </w:tc>
        <w:tc>
          <w:tcPr>
            <w:tcW w:w="220" w:type="dxa"/>
            <w:vAlign w:val="bottom"/>
          </w:tcPr>
          <w:p>
            <w:pPr>
              <w:spacing w:after="0"/>
              <w:rPr>
                <w:sz w:val="19"/>
                <w:szCs w:val="19"/>
                <w:color w:val="auto"/>
              </w:rPr>
            </w:pPr>
          </w:p>
        </w:tc>
        <w:tc>
          <w:tcPr>
            <w:tcW w:w="428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Svai Sanford</w:t>
            </w:r>
          </w:p>
        </w:tc>
        <w:tc>
          <w:tcPr>
            <w:tcW w:w="220" w:type="dxa"/>
            <w:vAlign w:val="bottom"/>
          </w:tcPr>
          <w:p>
            <w:pPr>
              <w:spacing w:after="0"/>
              <w:rPr>
                <w:sz w:val="24"/>
                <w:szCs w:val="24"/>
                <w:color w:val="auto"/>
              </w:rPr>
            </w:pPr>
          </w:p>
        </w:tc>
        <w:tc>
          <w:tcPr>
            <w:tcW w:w="4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220" w:type="dxa"/>
            <w:vAlign w:val="bottom"/>
          </w:tcPr>
          <w:p>
            <w:pPr>
              <w:spacing w:after="0"/>
              <w:rPr>
                <w:sz w:val="19"/>
                <w:szCs w:val="19"/>
                <w:color w:val="auto"/>
              </w:rPr>
            </w:pPr>
          </w:p>
        </w:tc>
        <w:tc>
          <w:tcPr>
            <w:tcW w:w="428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Mir Imran</w:t>
            </w:r>
          </w:p>
        </w:tc>
        <w:tc>
          <w:tcPr>
            <w:tcW w:w="22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Mir Imran</w:t>
            </w:r>
          </w:p>
        </w:tc>
        <w:tc>
          <w:tcPr>
            <w:tcW w:w="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Ausiello</w:t>
            </w:r>
          </w:p>
        </w:tc>
        <w:tc>
          <w:tcPr>
            <w:tcW w:w="22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Dennis Ausiello</w:t>
            </w:r>
          </w:p>
        </w:tc>
        <w:tc>
          <w:tcPr>
            <w:tcW w:w="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Jean-Luc Butel</w:t>
            </w:r>
          </w:p>
        </w:tc>
        <w:tc>
          <w:tcPr>
            <w:tcW w:w="22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Abraham Bassan</w:t>
            </w:r>
          </w:p>
        </w:tc>
        <w:tc>
          <w:tcPr>
            <w:tcW w:w="22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Abraham Bassan</w:t>
            </w:r>
          </w:p>
        </w:tc>
        <w:tc>
          <w:tcPr>
            <w:tcW w:w="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Vasudev Bailey</w:t>
            </w:r>
          </w:p>
        </w:tc>
        <w:tc>
          <w:tcPr>
            <w:tcW w:w="22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Vasudev Bailey</w:t>
            </w:r>
          </w:p>
        </w:tc>
        <w:tc>
          <w:tcPr>
            <w:tcW w:w="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Rometty</w:t>
            </w:r>
          </w:p>
        </w:tc>
        <w:tc>
          <w:tcPr>
            <w:tcW w:w="22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1177"/>
        </w:trPr>
        <w:tc>
          <w:tcPr>
            <w:tcW w:w="4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16586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John McKenna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2B2420"/>
        </w:rPr>
        <w:t>1 650 843 5059</w:t>
      </w:r>
    </w:p>
    <w:p>
      <w:pPr>
        <w:spacing w:after="0"/>
        <w:rPr>
          <w:sz w:val="20"/>
          <w:szCs w:val="20"/>
          <w:color w:val="auto"/>
        </w:rPr>
      </w:pPr>
      <w:r>
        <w:rPr>
          <w:rFonts w:ascii="Arial" w:cs="Arial" w:eastAsia="Arial" w:hAnsi="Arial"/>
          <w:sz w:val="18"/>
          <w:szCs w:val="18"/>
          <w:color w:val="auto"/>
        </w:rPr>
        <w:t>jmckenna@cooley.com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March 26,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Avenue</w:t>
      </w:r>
    </w:p>
    <w:p>
      <w:pPr>
        <w:spacing w:after="0"/>
        <w:rPr>
          <w:sz w:val="20"/>
          <w:szCs w:val="20"/>
          <w:color w:val="auto"/>
        </w:rPr>
      </w:pPr>
      <w:r>
        <w:rPr>
          <w:rFonts w:ascii="Arial" w:cs="Arial" w:eastAsia="Arial" w:hAnsi="Arial"/>
          <w:sz w:val="18"/>
          <w:szCs w:val="18"/>
          <w:color w:val="auto"/>
        </w:rPr>
        <w:t>San Jose, California 95131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acted as counsel to Rani Therapeutics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an offering of up to 6,179,622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(a) 6,079,622 shares of Common Stock issuable pursuant to the Company’s 2021 Equity Incentive Plan (the “</w:t>
      </w:r>
      <w:r>
        <w:rPr>
          <w:rFonts w:ascii="Arial" w:cs="Arial" w:eastAsia="Arial" w:hAnsi="Arial"/>
          <w:sz w:val="18"/>
          <w:szCs w:val="18"/>
          <w:b w:val="1"/>
          <w:bCs w:val="1"/>
          <w:i w:val="1"/>
          <w:iCs w:val="1"/>
          <w:color w:val="auto"/>
        </w:rPr>
        <w:t>2021 EIP</w:t>
      </w:r>
      <w:r>
        <w:rPr>
          <w:rFonts w:ascii="Arial" w:cs="Arial" w:eastAsia="Arial" w:hAnsi="Arial"/>
          <w:sz w:val="18"/>
          <w:szCs w:val="18"/>
          <w:color w:val="auto"/>
        </w:rPr>
        <w:t>”) and (b) 100,000 shares of Common Stock issuable pursuant to the Company’s 2021 Employee Stock Purchase Plan (together with the 2021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377" w:lineRule="exact"/>
        <w:rPr>
          <w:sz w:val="20"/>
          <w:szCs w:val="20"/>
          <w:color w:val="auto"/>
        </w:rPr>
      </w:pPr>
    </w:p>
    <w:p>
      <w:pPr>
        <w:jc w:val="center"/>
        <w:spacing w:after="0"/>
        <w:tabs>
          <w:tab w:leader="none" w:pos="80" w:val="left"/>
          <w:tab w:leader="none" w:pos="100" w:val="left"/>
          <w:tab w:leader="none" w:pos="80" w:val="left"/>
        </w:tabs>
        <w:rPr>
          <w:sz w:val="20"/>
          <w:szCs w:val="20"/>
          <w:color w:val="auto"/>
        </w:rPr>
      </w:pPr>
      <w:r>
        <w:rPr>
          <w:rFonts w:ascii="Arial" w:cs="Arial" w:eastAsia="Arial" w:hAnsi="Arial"/>
          <w:sz w:val="13"/>
          <w:szCs w:val="13"/>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(650) 843-5000 f: (650) 849-7400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65860"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Rani Therapeutics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2026</w:t>
      </w:r>
    </w:p>
    <w:p>
      <w:pPr>
        <w:spacing w:after="0"/>
        <w:rPr>
          <w:sz w:val="20"/>
          <w:szCs w:val="20"/>
          <w:color w:val="auto"/>
        </w:rPr>
      </w:pPr>
      <w:r>
        <w:rPr>
          <w:rFonts w:ascii="Arial" w:cs="Arial" w:eastAsia="Arial" w:hAnsi="Arial"/>
          <w:sz w:val="18"/>
          <w:szCs w:val="18"/>
          <w:color w:val="auto"/>
        </w:rPr>
        <w:t>Page Two</w:t>
      </w: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McKenna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tabs>
          <w:tab w:leader="none" w:pos="80" w:val="left"/>
          <w:tab w:leader="none" w:pos="100" w:val="left"/>
          <w:tab w:leader="none" w:pos="80" w:val="left"/>
        </w:tabs>
        <w:rPr>
          <w:sz w:val="20"/>
          <w:szCs w:val="20"/>
          <w:color w:val="auto"/>
        </w:rPr>
      </w:pPr>
      <w:r>
        <w:rPr>
          <w:rFonts w:ascii="Arial" w:cs="Arial" w:eastAsia="Arial" w:hAnsi="Arial"/>
          <w:sz w:val="13"/>
          <w:szCs w:val="13"/>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(650) 843-5000 f: (650) 849-7400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07"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 dated March 31, 2025 relating to the Consolidated financial statements appearing in the Annual Report on Form 10-K of Rani Therapeutics Holdings, Inc. for the year ended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26, 2026, relating to the consolidated financial statements appearing in the Annual Report on Form 10-K of Rani Therapeutics Holdings, Inc.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38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Rani Therapeutics Holdings,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80" w:type="dxa"/>
            <w:vAlign w:val="bottom"/>
            <w:tcBorders>
              <w:top w:val="single" w:sz="8" w:color="auto"/>
              <w:left w:val="single" w:sz="8" w:color="auto"/>
              <w:right w:val="single" w:sz="8" w:color="auto"/>
            </w:tcBorders>
          </w:tcPr>
          <w:p>
            <w:pPr>
              <w:spacing w:after="0"/>
              <w:rPr>
                <w:sz w:val="14"/>
                <w:szCs w:val="14"/>
                <w:color w:val="auto"/>
              </w:rPr>
            </w:pPr>
          </w:p>
        </w:tc>
        <w:tc>
          <w:tcPr>
            <w:tcW w:w="3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1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Proposed</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980" w:type="dxa"/>
            <w:vAlign w:val="bottom"/>
            <w:tcBorders>
              <w:top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11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30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to be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Type</w:t>
            </w:r>
          </w:p>
        </w:tc>
        <w:tc>
          <w:tcPr>
            <w:tcW w:w="3920" w:type="dxa"/>
            <w:vAlign w:val="bottom"/>
            <w:tcBorders>
              <w:right w:val="single" w:sz="8" w:color="auto"/>
            </w:tcBorders>
            <w:vMerge w:val="restart"/>
          </w:tcPr>
          <w:p>
            <w:pPr>
              <w:ind w:left="1360"/>
              <w:spacing w:after="0"/>
              <w:rPr>
                <w:sz w:val="20"/>
                <w:szCs w:val="20"/>
                <w:color w:val="auto"/>
              </w:rPr>
            </w:pPr>
            <w:r>
              <w:rPr>
                <w:rFonts w:ascii="Times New Roman" w:cs="Times New Roman" w:eastAsia="Times New Roman" w:hAnsi="Times New Roman"/>
                <w:sz w:val="14"/>
                <w:szCs w:val="14"/>
                <w:color w:val="auto"/>
              </w:rPr>
              <w:t>Security Class Title</w:t>
            </w:r>
          </w:p>
        </w:tc>
        <w:tc>
          <w:tcPr>
            <w:tcW w:w="9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Calculation</w:t>
            </w:r>
          </w:p>
        </w:tc>
        <w:tc>
          <w:tcPr>
            <w:tcW w:w="11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Price Per</w:t>
            </w:r>
          </w:p>
        </w:tc>
        <w:tc>
          <w:tcPr>
            <w:tcW w:w="13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Aggregate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8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Registrati</w:t>
            </w:r>
          </w:p>
        </w:tc>
        <w:tc>
          <w:tcPr>
            <w:tcW w:w="0" w:type="dxa"/>
            <w:vAlign w:val="bottom"/>
          </w:tcPr>
          <w:p>
            <w:pPr>
              <w:spacing w:after="0"/>
              <w:rPr>
                <w:sz w:val="1"/>
                <w:szCs w:val="1"/>
                <w:color w:val="auto"/>
              </w:rPr>
            </w:pPr>
          </w:p>
        </w:tc>
      </w:tr>
      <w:tr>
        <w:trPr>
          <w:trHeight w:val="192"/>
        </w:trPr>
        <w:tc>
          <w:tcPr>
            <w:tcW w:w="12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392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w:t>
            </w:r>
          </w:p>
        </w:tc>
        <w:tc>
          <w:tcPr>
            <w:tcW w:w="1120" w:type="dxa"/>
            <w:vAlign w:val="bottom"/>
            <w:tcBorders>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color w:val="auto"/>
                <w:w w:val="99"/>
              </w:rPr>
              <w:t>Registered</w:t>
            </w:r>
            <w:r>
              <w:rPr>
                <w:rFonts w:ascii="Times New Roman" w:cs="Times New Roman" w:eastAsia="Times New Roman" w:hAnsi="Times New Roman"/>
                <w:sz w:val="19"/>
                <w:szCs w:val="19"/>
                <w:color w:val="auto"/>
                <w:w w:val="99"/>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on Fee</w:t>
            </w:r>
          </w:p>
        </w:tc>
        <w:tc>
          <w:tcPr>
            <w:tcW w:w="0" w:type="dxa"/>
            <w:vAlign w:val="bottom"/>
          </w:tcPr>
          <w:p>
            <w:pPr>
              <w:spacing w:after="0"/>
              <w:rPr>
                <w:sz w:val="1"/>
                <w:szCs w:val="1"/>
                <w:color w:val="auto"/>
              </w:rPr>
            </w:pPr>
          </w:p>
        </w:tc>
      </w:tr>
      <w:tr>
        <w:trPr>
          <w:trHeight w:val="390"/>
        </w:trPr>
        <w:tc>
          <w:tcPr>
            <w:tcW w:w="128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Other</w:t>
            </w:r>
            <w:r>
              <w:rPr>
                <w:rFonts w:ascii="Times New Roman" w:cs="Times New Roman" w:eastAsia="Times New Roman" w:hAnsi="Times New Roman"/>
                <w:sz w:val="24"/>
                <w:szCs w:val="24"/>
                <w:color w:val="auto"/>
                <w:w w:val="93"/>
                <w:vertAlign w:val="superscript"/>
              </w:rPr>
              <w:t>(2)</w:t>
            </w:r>
          </w:p>
        </w:tc>
        <w:tc>
          <w:tcPr>
            <w:tcW w:w="112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8"/>
                <w:szCs w:val="18"/>
                <w:color w:val="auto"/>
              </w:rPr>
              <w:t>6,079,622</w:t>
            </w:r>
            <w:r>
              <w:rPr>
                <w:rFonts w:ascii="Times New Roman" w:cs="Times New Roman" w:eastAsia="Times New Roman" w:hAnsi="Times New Roman"/>
                <w:sz w:val="24"/>
                <w:szCs w:val="24"/>
                <w:color w:val="auto"/>
                <w:vertAlign w:val="superscript"/>
              </w:rPr>
              <w:t>(4)</w:t>
            </w:r>
          </w:p>
        </w:tc>
        <w:tc>
          <w:tcPr>
            <w:tcW w:w="9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9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share, reserved for issuance pursuant to the 2021</w:t>
            </w:r>
          </w:p>
        </w:tc>
        <w:tc>
          <w:tcPr>
            <w:tcW w:w="90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$1.1100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$6,748,380.42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.0001381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$931.95</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 Incentive Plan</w:t>
            </w:r>
          </w:p>
        </w:tc>
        <w:tc>
          <w:tcPr>
            <w:tcW w:w="9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28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Other</w:t>
            </w:r>
            <w:r>
              <w:rPr>
                <w:rFonts w:ascii="Times New Roman" w:cs="Times New Roman" w:eastAsia="Times New Roman" w:hAnsi="Times New Roman"/>
                <w:sz w:val="24"/>
                <w:szCs w:val="24"/>
                <w:color w:val="auto"/>
                <w:w w:val="93"/>
                <w:vertAlign w:val="superscript"/>
              </w:rPr>
              <w:t>(3)</w:t>
            </w:r>
          </w:p>
        </w:tc>
        <w:tc>
          <w:tcPr>
            <w:tcW w:w="1120" w:type="dxa"/>
            <w:vAlign w:val="bottom"/>
            <w:tcBorders>
              <w:right w:val="single" w:sz="8" w:color="auto"/>
            </w:tcBorders>
            <w:vMerge w:val="restart"/>
          </w:tcPr>
          <w:p>
            <w:pPr>
              <w:jc w:val="center"/>
              <w:ind w:right="99"/>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4"/>
                <w:szCs w:val="24"/>
                <w:color w:val="auto"/>
                <w:vertAlign w:val="superscript"/>
              </w:rPr>
              <w:t>(5)</w:t>
            </w:r>
          </w:p>
        </w:tc>
        <w:tc>
          <w:tcPr>
            <w:tcW w:w="9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9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share, reserved for issuance pursuant to the 2021</w:t>
            </w:r>
          </w:p>
        </w:tc>
        <w:tc>
          <w:tcPr>
            <w:tcW w:w="90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$0.9500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$95,000.00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.0001381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Employee Stock Purchase Plan</w:t>
            </w:r>
          </w:p>
        </w:tc>
        <w:tc>
          <w:tcPr>
            <w:tcW w:w="9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9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bottom w:val="single" w:sz="8" w:color="auto"/>
            </w:tcBorders>
          </w:tcPr>
          <w:p>
            <w:pPr>
              <w:spacing w:after="0"/>
              <w:rPr>
                <w:sz w:val="18"/>
                <w:szCs w:val="18"/>
                <w:color w:val="auto"/>
              </w:rPr>
            </w:pPr>
          </w:p>
        </w:tc>
        <w:tc>
          <w:tcPr>
            <w:tcW w:w="3920" w:type="dxa"/>
            <w:vAlign w:val="bottom"/>
            <w:tcBorders>
              <w:bottom w:val="single" w:sz="8" w:color="auto"/>
            </w:tcBorders>
          </w:tcPr>
          <w:p>
            <w:pPr>
              <w:jc w:val="center"/>
              <w:ind w:left="1552"/>
              <w:spacing w:after="0"/>
              <w:rPr>
                <w:sz w:val="20"/>
                <w:szCs w:val="20"/>
                <w:color w:val="auto"/>
              </w:rPr>
            </w:pPr>
            <w:r>
              <w:rPr>
                <w:rFonts w:ascii="Times New Roman" w:cs="Times New Roman" w:eastAsia="Times New Roman" w:hAnsi="Times New Roman"/>
                <w:sz w:val="18"/>
                <w:szCs w:val="18"/>
                <w:color w:val="auto"/>
              </w:rPr>
              <w:t>Total Offering Amounts</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$6,843,380.42</w:t>
            </w:r>
          </w:p>
        </w:tc>
        <w:tc>
          <w:tcPr>
            <w:tcW w:w="9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$945.07</w:t>
            </w: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bottom w:val="single" w:sz="8" w:color="auto"/>
            </w:tcBorders>
          </w:tcPr>
          <w:p>
            <w:pPr>
              <w:spacing w:after="0"/>
              <w:rPr>
                <w:sz w:val="18"/>
                <w:szCs w:val="18"/>
                <w:color w:val="auto"/>
              </w:rPr>
            </w:pPr>
          </w:p>
        </w:tc>
        <w:tc>
          <w:tcPr>
            <w:tcW w:w="3920" w:type="dxa"/>
            <w:vAlign w:val="bottom"/>
            <w:tcBorders>
              <w:bottom w:val="single" w:sz="8" w:color="auto"/>
            </w:tcBorders>
          </w:tcPr>
          <w:p>
            <w:pPr>
              <w:jc w:val="center"/>
              <w:ind w:left="1552"/>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3920" w:type="dxa"/>
            <w:vAlign w:val="bottom"/>
            <w:tcBorders>
              <w:bottom w:val="single" w:sz="8" w:color="auto"/>
            </w:tcBorders>
          </w:tcPr>
          <w:p>
            <w:pPr>
              <w:jc w:val="center"/>
              <w:ind w:left="1552"/>
              <w:spacing w:after="0"/>
              <w:rPr>
                <w:sz w:val="20"/>
                <w:szCs w:val="20"/>
                <w:color w:val="auto"/>
              </w:rPr>
            </w:pPr>
            <w:r>
              <w:rPr>
                <w:rFonts w:ascii="Times New Roman" w:cs="Times New Roman" w:eastAsia="Times New Roman" w:hAnsi="Times New Roman"/>
                <w:sz w:val="18"/>
                <w:szCs w:val="18"/>
                <w:color w:val="auto"/>
              </w:rPr>
              <w:t>Net Fee Due</w:t>
            </w: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$945.07</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20" w:hanging="512"/>
        <w:spacing w:after="0" w:line="259"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Class A common stock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Registrant’s 2021 Equity Incentive Place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or the Registrant’s 2021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by reason of any stock dividend, stock split, recapitalization or any other similar transaction effected without receipt of consideration which results in an increase in the number of outstanding shares of Class A Common Stock.</w:t>
      </w:r>
    </w:p>
    <w:p>
      <w:pPr>
        <w:spacing w:after="0" w:line="7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and Rule 457(h) solely for the purpose of calculating the registration fee on the basis of $1.11 per share, which is the average of the high and low prices of the Class A Common Stock as reported on The Nasdaq Global Market on March 24, 2026 (rounded up to the nearest cent).</w:t>
      </w:r>
    </w:p>
    <w:p>
      <w:pPr>
        <w:spacing w:after="0" w:line="6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and Rule 457(h) solely for the purpose of calculating the registration fee on the basis of $0.95 per share, which is the average of the high and low prices of the Class A Common Stock as reported on The Nasdaq Global Market on March 24, 2026 (rounded up to the nearest cent), multiplied by 85%, which is the percentage of the price per share applicable to purchasers under the 2021 ESPP.</w:t>
      </w:r>
    </w:p>
    <w:p>
      <w:pPr>
        <w:spacing w:after="0" w:line="6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Class A Common Stock reserved for future grant under the 2021 Plan as a result of the automatic increase in shares reserved thereunder on January 1, 2026 pursuant to an “evergreen” provision contained in the 2021 Plan. Pursuant to such provision, an additional number of shares will automatically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86" w:lineRule="exact"/>
        <w:rPr>
          <w:sz w:val="20"/>
          <w:szCs w:val="20"/>
          <w:color w:val="auto"/>
        </w:rPr>
      </w:pPr>
    </w:p>
    <w:p>
      <w:pPr>
        <w:jc w:val="both"/>
        <w:ind w:left="512"/>
        <w:spacing w:after="0" w:line="261" w:lineRule="auto"/>
        <w:rPr>
          <w:sz w:val="20"/>
          <w:szCs w:val="20"/>
          <w:color w:val="auto"/>
        </w:rPr>
      </w:pPr>
      <w:r>
        <w:rPr>
          <w:rFonts w:ascii="Times New Roman" w:cs="Times New Roman" w:eastAsia="Times New Roman" w:hAnsi="Times New Roman"/>
          <w:sz w:val="18"/>
          <w:szCs w:val="18"/>
          <w:color w:val="auto"/>
        </w:rPr>
        <w:t>added annually to the shares authorized for issuance under the 2021 Plan on January 1st of each calendar year, starting on January 1, 2022 and ending on (and including) January 1, 2031, in an amount equal to: (a) 5% of the total number of shares of all classes of the Registrant’s common stock outstanding on December 31st of the immediately preceding calendar year; or (b) a lesser number of shares as the Registrant’s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designate no later than December 31st of the immediately preceding year.</w:t>
      </w:r>
    </w:p>
    <w:p>
      <w:pPr>
        <w:spacing w:after="0" w:line="72" w:lineRule="exact"/>
        <w:rPr>
          <w:sz w:val="20"/>
          <w:szCs w:val="20"/>
          <w:color w:val="auto"/>
        </w:rPr>
      </w:pPr>
    </w:p>
    <w:p>
      <w:pPr>
        <w:jc w:val="both"/>
        <w:ind w:left="512" w:hanging="512"/>
        <w:spacing w:after="0" w:line="254"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Class A Common Stock reserved for issuance under the ESPP as a result of the automatic increase in shares reserved thereunder on January 1, 2026 pursuant to an “evergreen” provision contained in the ESPP. Pursuant to such provision, an additional number of shares will automatically be added annually to the shares authorized for issuance under the ESPP on January 1st of each calendar year, starting on January 1, 2022 and ending on (and including) January 1, 2031. The number of shares added each year will be equal to the lesser of: (a) 1% of the total number of shares of all classes of the Registrant’s common stock outstanding on December 31st of the immediately preceding calendar year;</w:t>
      </w:r>
    </w:p>
    <w:p>
      <w:pPr>
        <w:spacing w:after="0" w:line="3"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100,000 shares; or (c) a lesser number of shares as the Board may designate no later than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immediately preceding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849630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lvl w:ilvl="1">
      <w:lvlJc w:val="left"/>
      <w:lvlText w:val="%2"/>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jpeg"/><Relationship Id="rId36" Type="http://schemas.openxmlformats.org/officeDocument/2006/relationships/image" Target="media/image17.png"/><Relationship Id="rId37" Type="http://schemas.openxmlformats.org/officeDocument/2006/relationships/image" Target="media/image18.jpe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17" Type="http://schemas.openxmlformats.org/officeDocument/2006/relationships/hyperlink" Target="https://www.sec.gov/Archives/edgar/data/0001856725/000119312521235042/d161667ds8.htm" TargetMode="External"/><Relationship Id="rId18" Type="http://schemas.openxmlformats.org/officeDocument/2006/relationships/hyperlink" Target="https://www.sec.gov/Archives/edgar/data/1856725/000119312522091767/d266622ds8.htm" TargetMode="External"/><Relationship Id="rId19" Type="http://schemas.openxmlformats.org/officeDocument/2006/relationships/hyperlink" Target="https://www.sec.gov/Archives/edgar/data/1856725/000095017023009189/2023_form_s-8.htm" TargetMode="External"/><Relationship Id="rId20" Type="http://schemas.openxmlformats.org/officeDocument/2006/relationships/hyperlink" Target="https://www.sec.gov/Archives/edgar/data/1856725/000095017024034173/2024_form_s-8.htm" TargetMode="External"/><Relationship Id="rId21" Type="http://schemas.openxmlformats.org/officeDocument/2006/relationships/hyperlink" Target="https://www.sec.gov/Archives/edgar/data/1856725/000095017025047767/2025_form_s-8.htm" TargetMode="External"/><Relationship Id="rId23" Type="http://schemas.openxmlformats.org/officeDocument/2006/relationships/hyperlink" Target="https://www.sec.gov/Archives/edgar/data/1856725/000119312521223596/d151628dex31.htm" TargetMode="External"/><Relationship Id="rId24" Type="http://schemas.openxmlformats.org/officeDocument/2006/relationships/hyperlink" Target="https://www.sec.gov/Archives/edgar/data/1856725/000119312526001098/d848686dex32.htm" TargetMode="External"/><Relationship Id="rId25" Type="http://schemas.openxmlformats.org/officeDocument/2006/relationships/hyperlink" Target="https://www.sec.gov/Archives/edgar/data/1856725/000119312521223596/d151628dex41.htm" TargetMode="External"/><Relationship Id="rId26" Type="http://schemas.openxmlformats.org/officeDocument/2006/relationships/hyperlink" Target="https://www.sec.gov/Archives/edgar/data/1856725/000119312521211922/d151628dex105.htm" TargetMode="External"/><Relationship Id="rId27" Type="http://schemas.openxmlformats.org/officeDocument/2006/relationships/hyperlink" Target="https://www.sec.gov/Archives/edgar/data/1856725/000119312521223596/d151628dex107.htm" TargetMode="External"/><Relationship Id="rId28" Type="http://schemas.openxmlformats.org/officeDocument/2006/relationships/hyperlink" Target="https://www.sec.gov/Archives/edgar/data/1856725/000095017022005088/rani-ex10_8.htm" TargetMode="External"/><Relationship Id="rId29" Type="http://schemas.openxmlformats.org/officeDocument/2006/relationships/hyperlink" Target="https://www.sec.gov/Archives/edgar/data/1856725/000119312521223596/d15162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2026-03-26T16:16:40Z</dcterms:created>
  <dcterms:modified xsi:type="dcterms:W3CDTF">2026-03-26T16:16:40Z</dcterms:modified>
</cp:coreProperties>
</file>