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46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Sanford Svai 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142,138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211,313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220" w:firstLine="5"/>
        <w:spacing w:after="0" w:line="288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Class A Common LLC Units of Rani Therapeutics, LLC, a direct subsidiary of the Issuer. The Class A Common LLC Units are exchangeable for shares of Class A Common Stock on a one-for-one basis at the discretion of the holder, subject to certain exceptions, conditions and adjustments, and have no expiration date.</w:t>
      </w:r>
    </w:p>
    <w:p>
      <w:pPr>
        <w:spacing w:after="0" w:line="3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1/48th of the shares subject to the option vest monthly over four years from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Attorney-in-Fact for Svai  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Sanford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91411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2021-08-02T18:59:03Z</dcterms:created>
  <dcterms:modified xsi:type="dcterms:W3CDTF">2021-08-02T18:59:03Z</dcterms:modified>
</cp:coreProperties>
</file>