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-222250</wp:posOffset>
            </wp:positionV>
            <wp:extent cx="118745" cy="1187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31115</wp:posOffset>
            </wp:positionH>
            <wp:positionV relativeFrom="paragraph">
              <wp:posOffset>-558800</wp:posOffset>
            </wp:positionV>
            <wp:extent cx="118745" cy="1187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745" cy="118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2"/>
        </w:trPr>
        <w:tc>
          <w:tcPr>
            <w:tcW w:w="61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5194935</wp:posOffset>
            </wp:positionH>
            <wp:positionV relativeFrom="paragraph">
              <wp:posOffset>-604520</wp:posOffset>
            </wp:positionV>
            <wp:extent cx="57150" cy="6178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3915410</wp:posOffset>
            </wp:positionH>
            <wp:positionV relativeFrom="paragraph">
              <wp:posOffset>-604520</wp:posOffset>
            </wp:positionV>
            <wp:extent cx="57150" cy="6178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17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641985</wp:posOffset>
            </wp:positionV>
            <wp:extent cx="6998335" cy="54108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33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80"/>
            <w:col w:w="840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Ausiello Dennis A</w:t>
        </w:r>
      </w:hyperlink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2051 RINGWOOD AVE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Rani Therapeutics Holdings, Inc.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RANI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720" w:hanging="5"/>
        <w:spacing w:after="0" w:line="284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below)</w:t>
      </w:r>
    </w:p>
    <w:p>
      <w:pPr>
        <w:spacing w:after="0" w:line="4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320" w:space="515"/>
            <w:col w:w="3345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9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SAN JOSE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95131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3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center"/>
              <w:ind w:right="1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jc w:val="center"/>
              <w:ind w:righ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9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4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7"/>
              </w:rPr>
              <w:t>101,276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101,276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6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05/25/2024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05/24/2033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101,276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15,423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2.84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15,423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left="24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15,423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9.44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12/16/2024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03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15,423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07/28/2031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79,317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-2988945</wp:posOffset>
            </wp:positionV>
            <wp:extent cx="28575" cy="29946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99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$4.11 per share. There is no change to the expiration dates or the vesting schedule of the options.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The shares subject to the option vested as follows: 1/36th of the shares subject to the option vested monthly over three years from June 17, 2021.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On December 16, 2024, the exercise price of the stock options has been amended to increase the exercise price to $9.44 per share. There is no change to the expiration dates or the vesting schedule of the options.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Svai Sanford. Attorney-in-Fact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5"/>
              </w:rPr>
              <w:t>12/17/2024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for Dennis Ausiello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60" w:hanging="3"/>
        <w:spacing w:after="0" w:line="324" w:lineRule="auto"/>
        <w:tabs>
          <w:tab w:leader="none" w:pos="171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81994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2024-12-17T16:04:52Z</dcterms:created>
  <dcterms:modified xsi:type="dcterms:W3CDTF">2024-12-17T16:04:52Z</dcterms:modified>
</cp:coreProperties>
</file>