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00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001-40672</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86-3114789</w:t>
            </w:r>
          </w:p>
        </w:tc>
      </w:tr>
      <w:tr>
        <w:trPr>
          <w:trHeight w:val="148"/>
        </w:trPr>
        <w:tc>
          <w:tcPr>
            <w:tcW w:w="400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0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0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2051 Ringwood Avenue</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0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San Jose, California</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95131</w:t>
            </w:r>
          </w:p>
        </w:tc>
      </w:tr>
      <w:tr>
        <w:trPr>
          <w:trHeight w:val="186"/>
        </w:trPr>
        <w:tc>
          <w:tcPr>
            <w:tcW w:w="400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May 11, 2022, Rani Therapeutics Holdings, Inc. (the “Company”) issued a press release providing a corporate update and announcing its financial results for the first quarter of the year ending December 31, 2022. The full text of the press release is furnished as Exhibit 99.1 to this Current Report on Form 8-K and is incorporated herein by reference.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5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57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11,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7" w:right="4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Svai Sanford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171450</wp:posOffset>
            </wp:positionV>
            <wp:extent cx="1568450"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84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Reports First Quarter 2022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Provides Corporate Update</w:t>
      </w:r>
    </w:p>
    <w:p>
      <w:pPr>
        <w:spacing w:after="0" w:line="211" w:lineRule="exact"/>
        <w:rPr>
          <w:sz w:val="20"/>
          <w:szCs w:val="20"/>
          <w:color w:val="auto"/>
        </w:rPr>
      </w:pPr>
    </w:p>
    <w:p>
      <w:pPr>
        <w:ind w:left="2760" w:hanging="96"/>
        <w:spacing w:after="0"/>
        <w:tabs>
          <w:tab w:leader="none" w:pos="276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Initiated a Phase 1 clinical trial of RT-102 for the treatment of osteoporosis –</w:t>
      </w:r>
    </w:p>
    <w:p>
      <w:pPr>
        <w:spacing w:after="0" w:line="117" w:lineRule="exact"/>
        <w:rPr>
          <w:rFonts w:ascii="Arial" w:cs="Arial" w:eastAsia="Arial" w:hAnsi="Arial"/>
          <w:sz w:val="18"/>
          <w:szCs w:val="18"/>
          <w:i w:val="1"/>
          <w:iCs w:val="1"/>
          <w:color w:val="auto"/>
        </w:rPr>
      </w:pPr>
    </w:p>
    <w:p>
      <w:pPr>
        <w:ind w:left="2280" w:hanging="114"/>
        <w:spacing w:after="0"/>
        <w:tabs>
          <w:tab w:leader="none" w:pos="22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Unveiled the high-capacity RaniPill</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HC, capable of delivering payloads of up to 20 mg –</w:t>
      </w:r>
    </w:p>
    <w:p>
      <w:pPr>
        <w:spacing w:after="0" w:line="117" w:lineRule="exact"/>
        <w:rPr>
          <w:rFonts w:ascii="Arial" w:cs="Arial" w:eastAsia="Arial" w:hAnsi="Arial"/>
          <w:sz w:val="18"/>
          <w:szCs w:val="18"/>
          <w:i w:val="1"/>
          <w:iCs w:val="1"/>
          <w:color w:val="auto"/>
        </w:rPr>
      </w:pPr>
    </w:p>
    <w:p>
      <w:pPr>
        <w:ind w:left="3420" w:hanging="106"/>
        <w:spacing w:after="0"/>
        <w:tabs>
          <w:tab w:leader="none" w:pos="3420"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Strengthened Board with the appointment of Lisa Rometty -</w:t>
      </w:r>
    </w:p>
    <w:p>
      <w:pPr>
        <w:spacing w:after="0" w:line="221"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 xml:space="preserve">SAN JOSE, Calif., May 11, 2022 </w:t>
      </w:r>
      <w:r>
        <w:rPr>
          <w:rFonts w:ascii="Arial" w:cs="Arial" w:eastAsia="Arial" w:hAnsi="Arial"/>
          <w:sz w:val="18"/>
          <w:szCs w:val="18"/>
          <w:color w:val="auto"/>
        </w:rPr>
        <w:t>— Rani Therapeutics Holdings, Inc. (“Rani Therapeutics” or “Rani”) (Nasdaq: RANI),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biotherapeutics company focused on the oral delivery of biologics, today reported financial results for the first quarter ended March 31, 2022 and provided a corporate update.</w:t>
      </w:r>
    </w:p>
    <w:p>
      <w:pPr>
        <w:spacing w:after="0" w:line="1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started the year off strong, having unveiled the high-capacity RaniPill HC, advanced RT-102 into the clinic for a Phase 1 trial in osteoporosis, and continued development of our pipeline,” said Talat Imran, Chief Executive Officer of Rani Therapeutics. “I am delighted with the announcement of the RaniPill HC and look forward to exploring the opportunities it provides in expanding Rani’s pipeline and positioning the company for additional partnerships. Looking to our clinical trials, we expect to provide an update on our ongoing Phase 1 study of RT-102 for osteoporosis and initiate Rani’s third Phase 1 clinical trial, in the second half of the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31" w:lineRule="exact"/>
        <w:rPr>
          <w:sz w:val="20"/>
          <w:szCs w:val="20"/>
          <w:color w:val="auto"/>
        </w:rPr>
      </w:pPr>
    </w:p>
    <w:p>
      <w:pPr>
        <w:ind w:left="960" w:right="280" w:hanging="424"/>
        <w:spacing w:after="0" w:line="258"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Initiated a Phase 1 Clinical Study of RT-102. </w:t>
      </w:r>
      <w:r>
        <w:rPr>
          <w:rFonts w:ascii="Arial" w:cs="Arial" w:eastAsia="Arial" w:hAnsi="Arial"/>
          <w:sz w:val="18"/>
          <w:szCs w:val="18"/>
          <w:color w:val="auto"/>
        </w:rPr>
        <w:t>In March 2022, Rani announced the initiation of a Phase 1 clinical study of RT-102, a</w:t>
      </w:r>
      <w:r>
        <w:rPr>
          <w:rFonts w:ascii="Arial" w:cs="Arial" w:eastAsia="Arial" w:hAnsi="Arial"/>
          <w:sz w:val="18"/>
          <w:szCs w:val="18"/>
          <w:b w:val="1"/>
          <w:bCs w:val="1"/>
          <w:color w:val="auto"/>
        </w:rPr>
        <w:t xml:space="preserve"> </w:t>
      </w:r>
      <w:r>
        <w:rPr>
          <w:rFonts w:ascii="Arial" w:cs="Arial" w:eastAsia="Arial" w:hAnsi="Arial"/>
          <w:sz w:val="18"/>
          <w:szCs w:val="18"/>
          <w:color w:val="auto"/>
        </w:rPr>
        <w:t>RaniPill capsule containing parathyroid hormone for the treatment of osteoporosis, in Australia. The single-center, open label, Phase 1 study is evaluating the pharmacokinetics, safety and tolerability of RT-102 administered in healthy adult women volunteers. Preclinical data of RT-102 demonstrated a pharmacokinetic profile comparable to published data for once-daily PTH injections for the treatment of osteoporosis.</w:t>
      </w:r>
    </w:p>
    <w:p>
      <w:pPr>
        <w:spacing w:after="0" w:line="88" w:lineRule="exact"/>
        <w:rPr>
          <w:rFonts w:ascii="Arial" w:cs="Arial" w:eastAsia="Arial" w:hAnsi="Arial"/>
          <w:sz w:val="18"/>
          <w:szCs w:val="18"/>
          <w:color w:val="auto"/>
        </w:rPr>
      </w:pPr>
    </w:p>
    <w:p>
      <w:pPr>
        <w:ind w:left="960" w:right="320" w:hanging="424"/>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Unveiled the RaniPill High Capacity (HC). </w:t>
      </w:r>
      <w:r>
        <w:rPr>
          <w:rFonts w:ascii="Arial" w:cs="Arial" w:eastAsia="Arial" w:hAnsi="Arial"/>
          <w:sz w:val="18"/>
          <w:szCs w:val="18"/>
          <w:color w:val="auto"/>
        </w:rPr>
        <w:t>In February 2022, Rani announced the development of the RaniPill HC, an oral device</w:t>
      </w:r>
      <w:r>
        <w:rPr>
          <w:rFonts w:ascii="Arial" w:cs="Arial" w:eastAsia="Arial" w:hAnsi="Arial"/>
          <w:sz w:val="18"/>
          <w:szCs w:val="18"/>
          <w:b w:val="1"/>
          <w:bCs w:val="1"/>
          <w:color w:val="auto"/>
        </w:rPr>
        <w:t xml:space="preserve"> </w:t>
      </w:r>
      <w:r>
        <w:rPr>
          <w:rFonts w:ascii="Arial" w:cs="Arial" w:eastAsia="Arial" w:hAnsi="Arial"/>
          <w:sz w:val="18"/>
          <w:szCs w:val="18"/>
          <w:color w:val="auto"/>
        </w:rPr>
        <w:t>capable of delivering therapeutic payloads of up to 500%-plus more than the original RaniPill capsule. In preclinical testing in a canine model using an adalimumab payload, the RaniPill HC deployed successfully and yielded a PK profile proportional to historical data obtained with adalimumab delivered via the original RaniPill capsule.</w:t>
      </w:r>
    </w:p>
    <w:p>
      <w:pPr>
        <w:spacing w:after="0" w:line="85" w:lineRule="exact"/>
        <w:rPr>
          <w:rFonts w:ascii="Arial" w:cs="Arial" w:eastAsia="Arial" w:hAnsi="Arial"/>
          <w:sz w:val="18"/>
          <w:szCs w:val="18"/>
          <w:color w:val="auto"/>
        </w:rPr>
      </w:pPr>
    </w:p>
    <w:p>
      <w:pPr>
        <w:jc w:val="both"/>
        <w:ind w:left="960" w:right="220" w:hanging="424"/>
        <w:spacing w:after="0" w:line="347"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Appointed Lisa Rometty to Board of Directors. </w:t>
      </w:r>
      <w:r>
        <w:rPr>
          <w:rFonts w:ascii="Arial" w:cs="Arial" w:eastAsia="Arial" w:hAnsi="Arial"/>
          <w:sz w:val="16"/>
          <w:szCs w:val="16"/>
          <w:color w:val="auto"/>
        </w:rPr>
        <w:t>In January 2022, Rani appointed Lisa Rometty to its Board of Directors. Ms. Rometty</w:t>
      </w:r>
      <w:r>
        <w:rPr>
          <w:rFonts w:ascii="Arial" w:cs="Arial" w:eastAsia="Arial" w:hAnsi="Arial"/>
          <w:sz w:val="16"/>
          <w:szCs w:val="16"/>
          <w:b w:val="1"/>
          <w:bCs w:val="1"/>
          <w:color w:val="auto"/>
        </w:rPr>
        <w:t xml:space="preserve"> </w:t>
      </w:r>
      <w:r>
        <w:rPr>
          <w:rFonts w:ascii="Arial" w:cs="Arial" w:eastAsia="Arial" w:hAnsi="Arial"/>
          <w:sz w:val="16"/>
          <w:szCs w:val="16"/>
          <w:color w:val="auto"/>
        </w:rPr>
        <w:t>has more than two decades of global commercialization and product development experience in the biotechnology and healthcare space.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Near-Term Milestones</w:t>
      </w:r>
    </w:p>
    <w:p>
      <w:pPr>
        <w:spacing w:after="0" w:line="135"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Topline Phase 1 RT-102 data readout expected in 2H 2022</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Initiation of an additional Phase 1 clinical trial expected in 2H 2022</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Financial Results</w:t>
      </w:r>
    </w:p>
    <w:p>
      <w:pPr>
        <w:spacing w:after="0" w:line="131" w:lineRule="exact"/>
        <w:rPr>
          <w:sz w:val="20"/>
          <w:szCs w:val="20"/>
          <w:color w:val="auto"/>
        </w:rPr>
      </w:pPr>
    </w:p>
    <w:p>
      <w:pPr>
        <w:ind w:left="960" w:right="220" w:hanging="424"/>
        <w:spacing w:after="0" w:line="266"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as of March 31, 2022 were $107.8 million, compared to $117.4 million as of December 31, 2021. Rani</w:t>
      </w:r>
      <w:r>
        <w:rPr>
          <w:rFonts w:ascii="Arial" w:cs="Arial" w:eastAsia="Arial" w:hAnsi="Arial"/>
          <w:sz w:val="18"/>
          <w:szCs w:val="18"/>
          <w:b w:val="1"/>
          <w:bCs w:val="1"/>
          <w:color w:val="auto"/>
        </w:rPr>
        <w:t xml:space="preserve"> </w:t>
      </w:r>
      <w:r>
        <w:rPr>
          <w:rFonts w:ascii="Arial" w:cs="Arial" w:eastAsia="Arial" w:hAnsi="Arial"/>
          <w:sz w:val="18"/>
          <w:szCs w:val="18"/>
          <w:color w:val="auto"/>
        </w:rPr>
        <w:t>expects its cash and cash equivalents balance to be sufficient to fund its operating expenses and capital expenditure requirements at least until the end of 2023.</w:t>
      </w:r>
    </w:p>
    <w:p>
      <w:pPr>
        <w:spacing w:after="0" w:line="81" w:lineRule="exact"/>
        <w:rPr>
          <w:rFonts w:ascii="Arial" w:cs="Arial" w:eastAsia="Arial" w:hAnsi="Arial"/>
          <w:sz w:val="18"/>
          <w:szCs w:val="18"/>
          <w:color w:val="auto"/>
        </w:rPr>
      </w:pPr>
    </w:p>
    <w:p>
      <w:pPr>
        <w:ind w:left="960" w:hanging="424"/>
        <w:spacing w:after="0" w:line="26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for the three months ended March 31, 2022 were $7.6 million, compared to $3.3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2021. The increase was primarily attributed to higher compensation and benefits due to the increase in headcount, including $1.2 million of non-cash equity-based compensation expense, initiation of a Phase 1 clinical trial, and ongoing development of the RaniPill HC.</w:t>
      </w:r>
    </w:p>
    <w:p>
      <w:pPr>
        <w:spacing w:after="0" w:line="85" w:lineRule="exact"/>
        <w:rPr>
          <w:rFonts w:ascii="Arial" w:cs="Arial" w:eastAsia="Arial" w:hAnsi="Arial"/>
          <w:sz w:val="18"/>
          <w:szCs w:val="18"/>
          <w:color w:val="auto"/>
        </w:rPr>
      </w:pPr>
    </w:p>
    <w:p>
      <w:pPr>
        <w:ind w:left="960" w:right="120" w:hanging="424"/>
        <w:spacing w:after="0" w:line="289"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General and administrative expenses </w:t>
      </w:r>
      <w:r>
        <w:rPr>
          <w:rFonts w:ascii="Arial" w:cs="Arial" w:eastAsia="Arial" w:hAnsi="Arial"/>
          <w:sz w:val="17"/>
          <w:szCs w:val="17"/>
          <w:color w:val="auto"/>
        </w:rPr>
        <w:t>for the three months ended March 31, 2022 were $6.2 million, compared to $2.6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2021. The increase was primarily attributed to the public company related costs and higher compensation and benefits due to the increase in headcount, including $1.7 million of non-cash equity-based compensation expense.</w:t>
      </w:r>
    </w:p>
    <w:p>
      <w:pPr>
        <w:spacing w:after="0" w:line="63" w:lineRule="exact"/>
        <w:rPr>
          <w:rFonts w:ascii="Arial" w:cs="Arial" w:eastAsia="Arial" w:hAnsi="Arial"/>
          <w:sz w:val="17"/>
          <w:szCs w:val="17"/>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for the three months ended March 31, 2022 was $13.8 million, compared to $5.6 million for the same period in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Rani Therapeutics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Rani Therapeutics is a clinical stage biotherapeutics company focused on advancing technologies to enable the development of orally administered biologics. Rani has developed RaniPill capsules, which are a novel, proprietary and patented platform technology, intended to replace subcutaneous injection or intravenous infusion of biologics with oral dosing. Rani has successfully conducted several preclinical and clinical studies to evaluate safety, tolerability and bioavailability using RaniPill capsules. For more information, visit </w:t>
      </w:r>
      <w:r>
        <w:rPr>
          <w:rFonts w:ascii="Arial" w:cs="Arial" w:eastAsia="Arial" w:hAnsi="Arial"/>
          <w:sz w:val="17"/>
          <w:szCs w:val="17"/>
          <w:u w:val="single" w:color="auto"/>
          <w:color w:val="auto"/>
        </w:rPr>
        <w:t>ranitherapeutics.com</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timing of topline results from Rani’s Phase 1 trial of RT-102, the expected initiation of an additional Phase 1 trial of another product candidate in the second half of 2022, expected progress with the RaniPill HC platform, and potential expansion of Rani’s prospective opportunity, alone or in partnership, to an additional 50 biologics across multiple new indications, Rani’s development and advancement of its RaniPill capsule technology, including RaniPill HC, the impact of its technology on medical treatment, Rani’s advancement of its preclinical and clinical programs and timing of results, customer acceptance of the RaniPill capsule technology, the potential benefits of the RaniPill capsule technology, Rani’s ability to attract and retain talent, Rani’s prospects for entering into strategic partnerships or transactions, and Rani’s growth as a company. Because such statements are subject to risks and uncertainties, actual results may differ</w:t>
      </w:r>
    </w:p>
    <w:p>
      <w:pPr>
        <w:sectPr>
          <w:pgSz w:w="11900" w:h="16838" w:orient="portrait"/>
          <w:cols w:equalWidth="0" w:num="1">
            <w:col w:w="11000"/>
          </w:cols>
          <w:pgMar w:left="440" w:top="270" w:right="45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materially from those expressed or implied by such forward-looking statements. Words such as “may,” “expect,” “could,” “anticipate,” “look forward,” “progress,” “advance”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the impact of the COVID-19 pandemic, and the other risks described in Rani’s filings with the Securities and Exchange Commission.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investors@ranitherapeutics.com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media@ranitherapeutics.com</w:t>
      </w:r>
    </w:p>
    <w:p>
      <w:pPr>
        <w:sectPr>
          <w:pgSz w:w="11900" w:h="16838" w:orient="portrait"/>
          <w:cols w:equalWidth="0" w:num="1">
            <w:col w:w="11000"/>
          </w:cols>
          <w:pgMar w:left="440" w:top="274"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89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107,839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117,453</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1,421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2,142</w:t>
            </w:r>
          </w:p>
        </w:tc>
      </w:tr>
      <w:tr>
        <w:trPr>
          <w:trHeight w:val="27"/>
        </w:trPr>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109,260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119,595</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4,890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4,612</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9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115,309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124,207</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Related party payable</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1,434</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2,640</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Operating lease liability, net current portion</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w w:val="94"/>
              </w:rPr>
              <w:t>Preferred stock, $0.0001 par value—20,000 shares authorized; none issued and outstanding as of March 31, 2022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December 31, 2021</w:t>
            </w:r>
          </w:p>
        </w:tc>
        <w:tc>
          <w:tcPr>
            <w:tcW w:w="14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A common stock, $0.0001 par value—800,000 shares authorized; 24,387 and 19,712 issued and outstanding as of</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2022 and December 31, 2021, respectively</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w w:val="94"/>
              </w:rPr>
              <w:t>Class B common stock, $0.0001 par value—40,000 shares authorized; 24,773 and 29,290 issued and outstanding as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March 31, 2022 and December 31, 2021, respectively</w:t>
            </w:r>
          </w:p>
        </w:tc>
        <w:tc>
          <w:tcPr>
            <w:tcW w:w="14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02"/>
        </w:trPr>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C common stock, $0.0001 par value—20,000 shares authorized; none issued and outstanding as of March 31, 2022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2021</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67,933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55,737</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(14,554)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(8,331)</w:t>
            </w: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Total stockholders’ equity attributable to Rani Therapeutics Holdings, Inc.</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53,384</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47,411</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57,260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74,156</w:t>
            </w:r>
          </w:p>
        </w:tc>
      </w:tr>
      <w:tr>
        <w:trPr>
          <w:trHeight w:val="230"/>
        </w:trPr>
        <w:tc>
          <w:tcPr>
            <w:tcW w:w="89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110,644</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121,567</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115,309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124,207</w:t>
            </w:r>
          </w:p>
        </w:tc>
      </w:tr>
      <w:tr>
        <w:trPr>
          <w:trHeight w:val="20"/>
        </w:trPr>
        <w:tc>
          <w:tcPr>
            <w:tcW w:w="8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 Condensed Consolidated Statements of Operations and Comprehensive Loss (In thousands, except per share amounts)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80" w:type="dxa"/>
            <w:vAlign w:val="bottom"/>
          </w:tcPr>
          <w:p>
            <w:pPr>
              <w:spacing w:after="0"/>
              <w:rPr>
                <w:sz w:val="14"/>
                <w:szCs w:val="14"/>
                <w:color w:val="auto"/>
              </w:rPr>
            </w:pPr>
          </w:p>
        </w:tc>
        <w:tc>
          <w:tcPr>
            <w:tcW w:w="21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88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7,591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23"/>
        </w:trPr>
        <w:tc>
          <w:tcPr>
            <w:tcW w:w="888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(13,780)</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w:t>
            </w:r>
          </w:p>
        </w:tc>
        <w:tc>
          <w:tcPr>
            <w:tcW w:w="2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(7,605)</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80" w:type="dxa"/>
            <w:vAlign w:val="bottom"/>
            <w:vMerge w:val="restart"/>
          </w:tcPr>
          <w:p>
            <w:pPr>
              <w:ind w:left="360"/>
              <w:spacing w:after="0"/>
              <w:rPr>
                <w:sz w:val="20"/>
                <w:szCs w:val="20"/>
                <w:color w:val="auto"/>
              </w:rPr>
            </w:pPr>
            <w:r>
              <w:rPr>
                <w:rFonts w:ascii="Arial" w:cs="Arial" w:eastAsia="Arial" w:hAnsi="Arial"/>
                <w:sz w:val="18"/>
                <w:szCs w:val="18"/>
                <w:color w:val="auto"/>
              </w:rPr>
              <w:t>Net loss per Class A common share attributable to Rani Therapeutics Holdings, Inc.,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Class A common shares outstanding—basic and diluted</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21,409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2022-05-11T15:19:15Z</dcterms:created>
  <dcterms:modified xsi:type="dcterms:W3CDTF">2022-05-11T15:19:15Z</dcterms:modified>
</cp:coreProperties>
</file>