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6414ds3.htm"/>
        <w:bookmarkStart w:id="1" w:name="ksd66414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U.S. Securities and Exchange Commission on August 8,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8"/>
        </w:rPr>
      </w:pPr>
      <w:r>
        <w:rPr>
          <w:rFonts w:ascii="Times New Roman" w:hAnsi="Times New Roman"/>
          <w:b/>
          <w:sz w:val="48"/>
        </w:rPr>
        <w:t xml:space="preserve">RANI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86-3114789</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2051 Ringwood Avenue </w:t>
      </w:r>
    </w:p>
    <w:p>
      <w:pPr>
        <w:pStyle w:val="TextBody"/>
        <w:bidi w:val="0"/>
        <w:spacing w:before="0" w:after="0"/>
        <w:jc w:val="center"/>
        <w:rPr>
          <w:rFonts w:ascii="Times New Roman" w:hAnsi="Times New Roman"/>
          <w:b/>
          <w:sz w:val="16"/>
        </w:rPr>
      </w:pPr>
      <w:r>
        <w:rPr>
          <w:rFonts w:ascii="Times New Roman" w:hAnsi="Times New Roman"/>
          <w:b/>
          <w:sz w:val="16"/>
        </w:rPr>
        <w:t xml:space="preserve">San Jose, California 95131 </w:t>
      </w:r>
    </w:p>
    <w:p>
      <w:pPr>
        <w:pStyle w:val="TextBody"/>
        <w:bidi w:val="0"/>
        <w:spacing w:before="0" w:after="0"/>
        <w:jc w:val="center"/>
        <w:rPr>
          <w:rFonts w:ascii="Times New Roman" w:hAnsi="Times New Roman"/>
          <w:b/>
          <w:sz w:val="16"/>
        </w:rPr>
      </w:pPr>
      <w:r>
        <w:rPr>
          <w:rFonts w:ascii="Times New Roman" w:hAnsi="Times New Roman"/>
          <w:b/>
          <w:sz w:val="16"/>
        </w:rPr>
        <w:t xml:space="preserve">(408) 457-3700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Talat Imran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Rani Therapeutics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2051 Ringwood Avenue </w:t>
      </w:r>
    </w:p>
    <w:p>
      <w:pPr>
        <w:pStyle w:val="TextBody"/>
        <w:bidi w:val="0"/>
        <w:spacing w:before="0" w:after="0"/>
        <w:jc w:val="center"/>
        <w:rPr>
          <w:rFonts w:ascii="Times New Roman" w:hAnsi="Times New Roman"/>
          <w:b/>
          <w:sz w:val="16"/>
        </w:rPr>
      </w:pPr>
      <w:r>
        <w:rPr>
          <w:rFonts w:ascii="Times New Roman" w:hAnsi="Times New Roman"/>
          <w:b/>
          <w:sz w:val="16"/>
        </w:rPr>
        <w:t xml:space="preserve">San Jose, California 95131 </w:t>
      </w:r>
    </w:p>
    <w:p>
      <w:pPr>
        <w:pStyle w:val="TextBody"/>
        <w:bidi w:val="0"/>
        <w:spacing w:before="0" w:after="0"/>
        <w:jc w:val="center"/>
        <w:rPr>
          <w:rFonts w:ascii="Times New Roman" w:hAnsi="Times New Roman"/>
          <w:b/>
          <w:sz w:val="16"/>
        </w:rPr>
      </w:pPr>
      <w:r>
        <w:rPr>
          <w:rFonts w:ascii="Times New Roman" w:hAnsi="Times New Roman"/>
          <w:b/>
          <w:sz w:val="16"/>
        </w:rPr>
        <w:t xml:space="preserve">(408) 457-3700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center"/>
        <w:rPr>
          <w:rFonts w:ascii="Times New Roman" w:hAnsi="Times New Roman"/>
          <w:b/>
          <w:sz w:val="16"/>
        </w:rPr>
      </w:pPr>
      <w:r>
        <w:rPr>
          <w:rFonts w:ascii="Times New Roman" w:hAnsi="Times New Roman"/>
          <w:b/>
          <w:sz w:val="16"/>
        </w:rPr>
        <w:t xml:space="preserve">Josh Seidenfeld </w:t>
      </w:r>
    </w:p>
    <w:p>
      <w:pPr>
        <w:pStyle w:val="TextBody"/>
        <w:bidi w:val="0"/>
        <w:spacing w:before="0" w:after="0"/>
        <w:jc w:val="center"/>
        <w:rPr>
          <w:rFonts w:ascii="Times New Roman" w:hAnsi="Times New Roman"/>
          <w:b/>
          <w:sz w:val="16"/>
        </w:rPr>
      </w:pPr>
      <w:r>
        <w:rPr>
          <w:rFonts w:ascii="Times New Roman" w:hAnsi="Times New Roman"/>
          <w:b/>
          <w:sz w:val="16"/>
        </w:rPr>
        <w:t xml:space="preserve">John T. McKenna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3175 Hanover Street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California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843-5000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b/>
          <w:sz w:val="16"/>
        </w:rPr>
        <w:t>From time to time after the effective date of this Registration Statement</w:t>
      </w:r>
      <w:r>
        <w:rPr>
          <w:rFonts w:ascii="Times New Roman" w:hAnsi="Times New Roman"/>
          <w:sz w:val="16"/>
        </w:rPr>
        <w:t xml:space="preserve"> (Approximate date of commencement of proposed sale to the public) </w:t>
      </w:r>
    </w:p>
    <w:p>
      <w:pPr>
        <w:pStyle w:val="TextBody"/>
        <w:bidi w:val="0"/>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7"/>
        <w:gridCol w:w="101"/>
        <w:gridCol w:w="3737"/>
        <w:gridCol w:w="147"/>
        <w:gridCol w:w="2858"/>
        <w:gridCol w:w="101"/>
        <w:gridCol w:w="234"/>
      </w:tblGrid>
      <w:tr>
        <w:trPr/>
        <w:tc>
          <w:tcPr>
            <w:tcW w:w="30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27" w:type="dxa"/>
            <w:tcBorders/>
            <w:vAlign w:val="bottom"/>
          </w:tcPr>
          <w:p>
            <w:pPr>
              <w:pStyle w:val="TableContents"/>
              <w:bidi w:val="0"/>
              <w:spacing w:before="0" w:after="283"/>
              <w:jc w:val="left"/>
              <w:rPr/>
            </w:pPr>
            <w:r>
              <w:rPr/>
              <w:t>Large accelerated filer</w:t>
            </w:r>
          </w:p>
        </w:tc>
        <w:tc>
          <w:tcPr>
            <w:tcW w:w="101" w:type="dxa"/>
            <w:tcBorders/>
            <w:vAlign w:val="bottom"/>
          </w:tcPr>
          <w:p>
            <w:pPr>
              <w:pStyle w:val="TableContents"/>
              <w:bidi w:val="0"/>
              <w:spacing w:before="0" w:after="283"/>
              <w:jc w:val="left"/>
              <w:rPr/>
            </w:pPr>
            <w:r>
              <w:rPr/>
              <w:t> </w:t>
            </w:r>
          </w:p>
        </w:tc>
        <w:tc>
          <w:tcPr>
            <w:tcW w:w="3737" w:type="dxa"/>
            <w:tcBorders/>
            <w:vAlign w:val="bottom"/>
          </w:tcPr>
          <w:p>
            <w:pPr>
              <w:pStyle w:val="TableContents"/>
              <w:bidi w:val="0"/>
              <w:spacing w:before="0" w:after="283"/>
              <w:jc w:val="left"/>
              <w:rPr/>
            </w:pPr>
            <w:r>
              <w:rPr/>
              <w:t>☐</w:t>
            </w:r>
          </w:p>
        </w:tc>
        <w:tc>
          <w:tcPr>
            <w:tcW w:w="147"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left"/>
              <w:rPr/>
            </w:pPr>
            <w:r>
              <w:rPr/>
              <w:t>Accelerated filer</w:t>
            </w:r>
          </w:p>
        </w:tc>
        <w:tc>
          <w:tcPr>
            <w:tcW w:w="10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vAlign w:val="bottom"/>
          </w:tcPr>
          <w:p>
            <w:pPr>
              <w:pStyle w:val="TableContents"/>
              <w:bidi w:val="0"/>
              <w:spacing w:before="0" w:after="283"/>
              <w:jc w:val="left"/>
              <w:rPr/>
            </w:pPr>
            <w:r>
              <w:rPr/>
              <w:t>Non-accelerated filer</w:t>
            </w:r>
          </w:p>
        </w:tc>
        <w:tc>
          <w:tcPr>
            <w:tcW w:w="101" w:type="dxa"/>
            <w:tcBorders/>
            <w:vAlign w:val="bottom"/>
          </w:tcPr>
          <w:p>
            <w:pPr>
              <w:pStyle w:val="TableContents"/>
              <w:bidi w:val="0"/>
              <w:spacing w:before="0" w:after="283"/>
              <w:jc w:val="left"/>
              <w:rPr/>
            </w:pPr>
            <w:r>
              <w:rPr/>
              <w:t> </w:t>
            </w:r>
          </w:p>
        </w:tc>
        <w:tc>
          <w:tcPr>
            <w:tcW w:w="3737" w:type="dxa"/>
            <w:tcBorders/>
            <w:vAlign w:val="bottom"/>
          </w:tcPr>
          <w:p>
            <w:pPr>
              <w:pStyle w:val="TableContents"/>
              <w:bidi w:val="0"/>
              <w:spacing w:before="0" w:after="283"/>
              <w:jc w:val="left"/>
              <w:rPr/>
            </w:pPr>
            <w:r>
              <w:rPr/>
              <w:t>☒</w:t>
            </w:r>
          </w:p>
        </w:tc>
        <w:tc>
          <w:tcPr>
            <w:tcW w:w="147"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left"/>
              <w:rPr/>
            </w:pPr>
            <w:r>
              <w:rPr/>
              <w:t>Smaller reporting company</w:t>
            </w:r>
          </w:p>
        </w:tc>
        <w:tc>
          <w:tcPr>
            <w:tcW w:w="10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r>
      <w:tr>
        <w:trPr>
          <w:trHeight w:val="120" w:hRule="atLeast"/>
        </w:trPr>
        <w:tc>
          <w:tcPr>
            <w:tcW w:w="3027" w:type="dxa"/>
            <w:tcBorders/>
            <w:vAlign w:val="center"/>
          </w:tcPr>
          <w:p>
            <w:pPr>
              <w:pStyle w:val="TableContents"/>
              <w:bidi w:val="0"/>
              <w:spacing w:before="0" w:after="283"/>
              <w:jc w:val="left"/>
              <w:rPr>
                <w:sz w:val="4"/>
                <w:szCs w:val="4"/>
              </w:rPr>
            </w:pPr>
            <w:r>
              <w:rPr>
                <w:sz w:val="4"/>
                <w:szCs w:val="4"/>
              </w:rPr>
            </w:r>
          </w:p>
        </w:tc>
        <w:tc>
          <w:tcPr>
            <w:tcW w:w="3838" w:type="dxa"/>
            <w:gridSpan w:val="2"/>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3027" w:type="dxa"/>
            <w:tcBorders/>
            <w:vAlign w:val="bottom"/>
          </w:tcPr>
          <w:p>
            <w:pPr>
              <w:pStyle w:val="TableContents"/>
              <w:bidi w:val="0"/>
              <w:spacing w:before="0" w:after="283"/>
              <w:jc w:val="left"/>
              <w:rPr/>
            </w:pPr>
            <w:r>
              <w:rPr/>
              <w:t>Emerging Growth Company</w:t>
            </w:r>
          </w:p>
        </w:tc>
        <w:tc>
          <w:tcPr>
            <w:tcW w:w="101" w:type="dxa"/>
            <w:tcBorders/>
            <w:vAlign w:val="bottom"/>
          </w:tcPr>
          <w:p>
            <w:pPr>
              <w:pStyle w:val="TableContents"/>
              <w:bidi w:val="0"/>
              <w:spacing w:before="0" w:after="283"/>
              <w:jc w:val="left"/>
              <w:rPr/>
            </w:pPr>
            <w:r>
              <w:rPr/>
              <w:t> </w:t>
            </w:r>
          </w:p>
        </w:tc>
        <w:tc>
          <w:tcPr>
            <w:tcW w:w="3737" w:type="dxa"/>
            <w:tcBorders/>
            <w:vAlign w:val="bottom"/>
          </w:tcPr>
          <w:p>
            <w:pPr>
              <w:pStyle w:val="TableContents"/>
              <w:bidi w:val="0"/>
              <w:spacing w:before="0" w:after="283"/>
              <w:jc w:val="left"/>
              <w:rPr/>
            </w:pPr>
            <w:r>
              <w:rPr/>
              <w:t>☒</w:t>
            </w:r>
          </w:p>
        </w:tc>
        <w:tc>
          <w:tcPr>
            <w:tcW w:w="147"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6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registration statement with the Securities and Exchange Commission, or the SEC, using a shelf registration process to replace our prior registration statement (File No. 333-266444) that will expire on August 10, 2025 in accordance with applicable SEC regulations. Under this shelf registration statement, we may, from time to time, sell any combination of the securities described herein, in one or more offerings, up to a maximum aggregate offering price of $200,000,000. The base prospectus immediately follows this explanatory note. The specific terms of any securities to be offered pursuant to the base prospectus will be specified in a prospectus supplement to the base 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PROSPECTUS (Subject to Completion) Dated August 8, 2025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$200,000,000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423160" cy="1212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3160" cy="121221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7"/>
        </w:rPr>
      </w:pPr>
      <w:r>
        <w:rPr>
          <w:rFonts w:ascii="Times New Roman" w:hAnsi="Times New Roman"/>
          <w:sz w:val="17"/>
        </w:rPr>
        <w:t xml:space="preserve">From time to time, we may offer and sell up to an aggregate amount of $200,000,000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 </w:t>
      </w:r>
    </w:p>
    <w:p>
      <w:pPr>
        <w:pStyle w:val="TextBody"/>
        <w:bidi w:val="0"/>
        <w:spacing w:before="120" w:after="0"/>
        <w:ind w:left="960" w:right="960" w:hanging="0"/>
        <w:jc w:val="left"/>
        <w:rPr>
          <w:rFonts w:ascii="Times New Roman" w:hAnsi="Times New Roman"/>
          <w:sz w:val="17"/>
        </w:rPr>
      </w:pPr>
      <w:r>
        <w:rPr>
          <w:rFonts w:ascii="Times New Roman" w:hAnsi="Times New Roman"/>
          <w:sz w:val="17"/>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 </w:t>
      </w:r>
    </w:p>
    <w:p>
      <w:pPr>
        <w:pStyle w:val="TextBody"/>
        <w:bidi w:val="0"/>
        <w:spacing w:before="120" w:after="0"/>
        <w:ind w:left="960" w:right="960" w:hanging="0"/>
        <w:jc w:val="left"/>
        <w:rPr>
          <w:rFonts w:ascii="Times New Roman" w:hAnsi="Times New Roman"/>
          <w:sz w:val="17"/>
        </w:rPr>
      </w:pPr>
      <w:r>
        <w:rPr>
          <w:rFonts w:ascii="Times New Roman" w:hAnsi="Times New Roman"/>
          <w:sz w:val="17"/>
        </w:rPr>
        <w:t xml:space="preserve">Our Class A common stock is listed on the Nasdaq Global Market under the trading symbol RANI. On August 7, 2025, the last reported sale price of our Class A common stock was $0.53 per share. The applicable prospectus supplement will contain information, where applicable, as to other listings, if any, on the Nasdaq Global Market or any securities market or other exchange of the securities covered by the applicable prospectus supplement. </w:t>
      </w:r>
    </w:p>
    <w:p>
      <w:pPr>
        <w:pStyle w:val="TextBody"/>
        <w:bidi w:val="0"/>
        <w:spacing w:before="120" w:after="0"/>
        <w:ind w:left="960" w:right="960" w:hanging="0"/>
        <w:jc w:val="left"/>
        <w:rPr>
          <w:rFonts w:ascii="Times New Roman" w:hAnsi="Times New Roman"/>
          <w:sz w:val="17"/>
        </w:rPr>
      </w:pPr>
      <w:r>
        <w:rPr>
          <w:rFonts w:ascii="Times New Roman" w:hAnsi="Times New Roman"/>
          <w:sz w:val="17"/>
        </w:rPr>
        <w:t xml:space="preserve">As of August 8, 2025, the aggregate market value of our outstanding Class A common stock held by non-affiliates, or public float, was approximately $32.9 million, based on 47,094,467 shares of outstanding Class A common stock held by non-affiliates, at a price of $0.698 per share, which was the last reported sale price of our Class A common stock on the Nasdaq Global Market on July 14, 2025. As of the date hereof, we have issued and sold $3.0 million of securities pursuant to General Instruction I.B.6 of Form S-3 during the 12 calendar months prior to and including the date of this prospectus. Accordingly, based on the foregoing, we are currently eligible under General Instruction I.B.6 of Form S-3 to offer and sell shares of our Class A common stock having an aggregate offering price of up to approximately $7.9 million. Pursuant to General Instruction I.B.6 of Form S-3, in no event will we sell securities registered on the registration statement of which this prospectus is a part in a public primary offering with a value exceeding more than one-third of our public float in any 12-month period so long as our public float remains below $75.0 million.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0"/>
        </w:rPr>
        <w:t>Investing in our securities involves a high degree of risk. You should review carefully the risks and uncertainties described under the section titled </w:t>
      </w:r>
      <w:hyperlink w:anchor="toc66414_3">
        <w:r>
          <w:rPr>
            <w:rStyle w:val="InternetLink"/>
            <w:rFonts w:ascii="Times New Roman" w:hAnsi="Times New Roman"/>
            <w:b/>
            <w:sz w:val="20"/>
          </w:rPr>
          <w:t>Risk Factors</w:t>
        </w:r>
      </w:hyperlink>
      <w:r>
        <w:rPr>
          <w:rFonts w:ascii="Times New Roman" w:hAnsi="Times New Roman"/>
          <w:b/>
          <w:sz w:val="20"/>
        </w:rPr>
        <w:t xml:space="preserve"> on page 7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 </w:t>
      </w:r>
    </w:p>
    <w:p>
      <w:pPr>
        <w:pStyle w:val="TextBody"/>
        <w:bidi w:val="0"/>
        <w:spacing w:before="120" w:after="0"/>
        <w:ind w:left="960" w:right="960" w:hanging="0"/>
        <w:jc w:val="left"/>
        <w:rPr>
          <w:rFonts w:ascii="Times New Roman" w:hAnsi="Times New Roman"/>
          <w:b/>
          <w:sz w:val="17"/>
        </w:rPr>
      </w:pPr>
      <w:r>
        <w:rPr>
          <w:rFonts w:ascii="Times New Roman" w:hAnsi="Times New Roman"/>
          <w:b/>
          <w:sz w:val="17"/>
        </w:rPr>
        <w:t xml:space="preserve">This prospectus may not be used to consummate a sale of securities unless accompanied by a prospectus supplement. </w:t>
      </w:r>
    </w:p>
    <w:p>
      <w:pPr>
        <w:pStyle w:val="TextBody"/>
        <w:bidi w:val="0"/>
        <w:spacing w:before="120" w:after="0"/>
        <w:ind w:left="960" w:right="960" w:hanging="0"/>
        <w:jc w:val="left"/>
        <w:rPr>
          <w:rFonts w:ascii="Times New Roman" w:hAnsi="Times New Roman"/>
          <w:sz w:val="17"/>
        </w:rPr>
      </w:pPr>
      <w:r>
        <w:rPr>
          <w:rFonts w:ascii="Times New Roman" w:hAnsi="Times New Roman"/>
          <w:sz w:val="17"/>
        </w:rPr>
        <w:t xml:space="preserve">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120" w:after="0"/>
        <w:ind w:left="960" w:right="960" w:hanging="0"/>
        <w:jc w:val="left"/>
        <w:rPr>
          <w:rFonts w:ascii="Times New Roman" w:hAnsi="Times New Roman"/>
          <w:b/>
          <w:sz w:val="17"/>
        </w:rPr>
      </w:pPr>
      <w:r>
        <w:rPr>
          <w:rFonts w:ascii="Times New Roman" w:hAnsi="Times New Roman"/>
          <w:b/>
          <w:sz w:val="17"/>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7"/>
        </w:rPr>
      </w:pPr>
      <w:r>
        <w:rPr>
          <w:rFonts w:ascii="Times New Roman" w:hAnsi="Times New Roman"/>
          <w:b/>
          <w:sz w:val="17"/>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3">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66414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6641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Class A common stock and preferred stock, various series of debt securities and/or warrants to purchase any of such securities, either individually or in combination with other securities, in one or more offerings, up to a total dollar amount of $200,000,000 of any combination of the securities described in this prospectus.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we refer to Rani Therapeutics Holdings, Inc. as Rani Holdings, and together with its subsidiary, Rani Therapeutics, LLC, as us, our, we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66414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 </w:t>
      </w:r>
    </w:p>
    <w:p>
      <w:pPr>
        <w:pStyle w:val="TextBody"/>
        <w:bidi w:val="0"/>
        <w:spacing w:before="480" w:after="0"/>
        <w:jc w:val="center"/>
        <w:rPr>
          <w:rFonts w:ascii="Times New Roman" w:hAnsi="Times New Roman"/>
          <w:b/>
          <w:sz w:val="20"/>
        </w:rPr>
      </w:pPr>
      <w:r>
        <w:rPr>
          <w:rFonts w:ascii="Times New Roman" w:hAnsi="Times New Roman"/>
          <w:b/>
          <w:sz w:val="20"/>
        </w:rPr>
        <w:t xml:space="preserve">Rani Therapeutics Holdings, Inc.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comprises a drug-agnostic oral delivery platform, the RaniPill capsule, which is designed to deliver a wide variety of drug substances, including antibodies, proteins, peptides, and oligonucleotides. We have two configurations of the platform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2025. We believe, the RaniPill capsule technology could enable us to deliver most biologics currently on the market with convenient, oral dosing.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located at 2051 Ringwood Ave., San Jose, California 95131 and our telephone number is (408) 457-3700. Our corporate website address is </w:t>
      </w:r>
      <w:r>
        <w:rPr>
          <w:rFonts w:ascii="Times New Roman" w:hAnsi="Times New Roman"/>
          <w:i/>
          <w:sz w:val="20"/>
        </w:rPr>
        <w:t>www.ranitherapeutics.com</w:t>
      </w:r>
      <w:r>
        <w:rPr>
          <w:rFonts w:ascii="Times New Roman" w:hAnsi="Times New Roman"/>
          <w:sz w:val="20"/>
        </w:rPr>
        <w:t xml:space="preserve">. The contents of our website are not incorporated by reference herein, and any references to our website is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The Securities We May Offer </w:t>
      </w:r>
    </w:p>
    <w:p>
      <w:pPr>
        <w:pStyle w:val="TextBody"/>
        <w:bidi w:val="0"/>
        <w:spacing w:before="120" w:after="0"/>
        <w:jc w:val="left"/>
        <w:rPr>
          <w:rFonts w:ascii="Times New Roman" w:hAnsi="Times New Roman"/>
          <w:sz w:val="20"/>
        </w:rPr>
      </w:pPr>
      <w:r>
        <w:rPr>
          <w:rFonts w:ascii="Times New Roman" w:hAnsi="Times New Roman"/>
          <w:sz w:val="20"/>
        </w:rPr>
        <w:t xml:space="preserve">We may offer shares of our Class A common stock and preferred stock, various series of debt securities and/or warrants to purchase any of such securities, either individually or in combination with other securities, up to a total dollar amount of $200,000,000,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date,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or sinking fund terms,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our Class A common stock from time to time. The holders of our Class A common stock are entitled to one vote for each share held of record on all matters submitted to a vote of stockholders. 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  Common Stock. We urge you, however, to read the applicable prospectus supplement (and any related free writing prospectus that we may authorize to be provided to you) related to any Class A common stock being offered.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 </w:t>
      </w:r>
    </w:p>
    <w:p>
      <w:pPr>
        <w:pStyle w:val="TextBody"/>
        <w:bidi w:val="0"/>
        <w:spacing w:before="240" w:after="0"/>
        <w:jc w:val="left"/>
        <w:rPr>
          <w:rFonts w:ascii="Times New Roman" w:hAnsi="Times New Roman"/>
          <w:sz w:val="20"/>
        </w:rPr>
      </w:pPr>
      <w:r>
        <w:rPr>
          <w:rFonts w:ascii="Times New Roman" w:hAnsi="Times New Roman"/>
          <w:sz w:val="20"/>
        </w:rPr>
        <w:t xml:space="preserve">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under a warrant agreement that we enter into with a warrant agent. We will indicate the name and address of the warrant agent, if any, in the applicable prospectus supplement relating to a particular series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6641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66414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additional capital to fund our existing operations and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improve our liquidity and financial position in response to the substantial doubt about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Class A common stock on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and focus of our current and future clinical trials in the United States and abroad,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further develop and expand our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utilize our technology platform to generate and advance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selectively enter into strategic partnership and the expected potential benefits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scale and optimize our manufacturing processes, including by expanding our use of automation;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who suffer from the indications we target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 each of the indications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innovate and expand our intellectual property by developing new applications of the RaniPill capsule;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and cash equivalents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savings from any restructuring plans or cost-containment measures we propose to implement;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conflict between Ukraine and Russia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realization of any benefit from our organizational structure, taking into account our obligations under a certain Tax Receivable Agreement with certain of the Continuing LLC Owners and the impact of any payments required to be made thereunder on our liquidity and financial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Jumpstart Our Business Startups Act of 2012.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described in the section titled </w:t>
      </w:r>
      <w:r>
        <w:rPr>
          <w:rFonts w:ascii="Times New Roman" w:hAnsi="Times New Roman"/>
          <w:i/>
          <w:sz w:val="20"/>
        </w:rPr>
        <w:t>Risk Factors</w:t>
      </w:r>
      <w:r>
        <w:rPr>
          <w:rFonts w:ascii="Times New Roman" w:hAnsi="Times New Roman"/>
          <w:sz w:val="20"/>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6641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any applicable prospectus supplement or in any free writing prospectuses we have authorized for use in connection with a specific offering, we currently intend to use the net proceeds for working capital and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66414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2025,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 on Dissolution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Class A common stock. The rights, preferences and privileges of the holders of our Class A common stock are subject to, and may be adversely affected by, the rights of the holders of shares of any series of our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 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authorize any shares of preferred stock with rights as to dividends or liquidation that are senior to the Class B common stock or the right to more than one vote for each share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Distribution on Dissolution </w:t>
      </w:r>
    </w:p>
    <w:p>
      <w:pPr>
        <w:pStyle w:val="TextBody"/>
        <w:bidi w:val="0"/>
        <w:spacing w:before="120" w:after="0"/>
        <w:jc w:val="left"/>
        <w:rPr>
          <w:rFonts w:ascii="Times New Roman" w:hAnsi="Times New Roman"/>
          <w:sz w:val="20"/>
        </w:rPr>
      </w:pPr>
      <w:r>
        <w:rPr>
          <w:rFonts w:ascii="Times New Roman" w:hAnsi="Times New Roman"/>
          <w:sz w:val="20"/>
        </w:rPr>
        <w:t xml:space="preserve">On our liquidation, dissolution or winding up, holders of Class B common stock will not be entitled to receive any distribution of our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Class C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Class C common stock are not entitled to vote on any matter that is submitted to a vote of the stockholders, except as otherwise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 on Dissolution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Delaware Law and Our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no less than a majority of the total voting power of the shares present in person or by proxy at the meeting and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Court of Chancery of the State of Delaware will be the sole and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asserting a claim of breach of a fiduciary duty owed by any of our current or former directors, officers, or other employees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to interpret, apply, enforce, or determine the validity of our amended and restated certificate of incorporation or our amended and restated bylaws;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as to which the Delaware General Corporation Law confers jurisdiction to the Court of Chancery of the State of Delaware;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or any of our directors, officers, or other employees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t>
      </w:r>
    </w:p>
    <w:p>
      <w:pPr>
        <w:pStyle w:val="TextBody"/>
        <w:bidi w:val="0"/>
        <w:spacing w:before="240" w:after="0"/>
        <w:jc w:val="left"/>
        <w:rPr>
          <w:rFonts w:ascii="Times New Roman" w:hAnsi="Times New Roman"/>
          <w:sz w:val="20"/>
        </w:rPr>
      </w:pPr>
      <w:r>
        <w:rPr>
          <w:rFonts w:ascii="Times New Roman" w:hAnsi="Times New Roman"/>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such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Equinti Trust Company,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66414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to us, our, we and the Company in this section refer to Rani Therapeutics Holdings, Inc. only.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66414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to us, our, we and the Company in this section refer to Rani Therapeutics Holdings, Inc. only.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specify in the applicable prospectus supplement, the warrants and any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66414_9"/>
      <w:bookmarkEnd w:id="11"/>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third-party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a global security, nor do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a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66414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agents or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to purchase additional shares or other options under which underwriters, dealers, agents or other purchasers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relationship. In such case, we will describe in the prospectus supplement the name of the underwriter, dealer or agent and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66414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 </w:t>
      </w:r>
    </w:p>
    <w:p>
      <w:pPr>
        <w:pStyle w:val="TextBody"/>
        <w:bidi w:val="0"/>
        <w:spacing w:before="480" w:after="0"/>
        <w:jc w:val="center"/>
        <w:rPr>
          <w:rFonts w:ascii="Times New Roman" w:hAnsi="Times New Roman"/>
          <w:b/>
          <w:sz w:val="20"/>
        </w:rPr>
      </w:pPr>
      <w:bookmarkStart w:id="14" w:name="toc66414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Marcum LLP, an independent registered public accounting firm, has audited our consolidated financial statements as of and for the year ended December 31, 2024, included in our Annual Report on Form 10-K for the year ended December 31, 2024, as set forth in their report, which is incorporated by reference in this prospectus and elsewhere in the registration statement. Our financial statements are incorporated by reference in reliance on Marcum LLPs report, which includes an explanatory paragraph as to Rani Therapeutics Holdings, Inc.s ability to continue as a going concern,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66414_13"/>
      <w:bookmarkEnd w:id="1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66414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2024, filed with the SEC on </w:t>
            </w:r>
            <w:hyperlink r:id="rId3">
              <w:r>
                <w:rPr>
                  <w:rStyle w:val="InternetLink"/>
                  <w:rFonts w:ascii="Times New Roman" w:hAnsi="Times New Roman"/>
                  <w:sz w:val="20"/>
                </w:rPr>
                <w:t>March 31,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2025, and June 30, 2025 filed with the SEC on </w:t>
            </w:r>
            <w:hyperlink r:id="rId4">
              <w:r>
                <w:rPr>
                  <w:rStyle w:val="InternetLink"/>
                  <w:rFonts w:ascii="Times New Roman" w:hAnsi="Times New Roman"/>
                  <w:sz w:val="20"/>
                </w:rPr>
                <w:t>May  13, 2025</w:t>
              </w:r>
            </w:hyperlink>
            <w:r>
              <w:rPr>
                <w:rFonts w:ascii="Times New Roman" w:hAnsi="Times New Roman"/>
                <w:sz w:val="20"/>
              </w:rPr>
              <w:t xml:space="preserve">, and </w:t>
            </w:r>
            <w:hyperlink r:id="rId5">
              <w:r>
                <w:rPr>
                  <w:rStyle w:val="InternetLink"/>
                  <w:rFonts w:ascii="Times New Roman" w:hAnsi="Times New Roman"/>
                  <w:sz w:val="20"/>
                </w:rPr>
                <w:t>August 7,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with the SEC on April 16,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April 9, 2025</w:t>
              </w:r>
            </w:hyperlink>
            <w:r>
              <w:rPr>
                <w:rFonts w:ascii="Times New Roman" w:hAnsi="Times New Roman"/>
                <w:sz w:val="20"/>
              </w:rPr>
              <w:t xml:space="preserve">, </w:t>
            </w:r>
            <w:hyperlink r:id="rId8">
              <w:r>
                <w:rPr>
                  <w:rStyle w:val="InternetLink"/>
                  <w:rFonts w:ascii="Times New Roman" w:hAnsi="Times New Roman"/>
                  <w:sz w:val="20"/>
                </w:rPr>
                <w:t>April  30, 2025</w:t>
              </w:r>
            </w:hyperlink>
            <w:r>
              <w:rPr>
                <w:rFonts w:ascii="Times New Roman" w:hAnsi="Times New Roman"/>
                <w:sz w:val="20"/>
              </w:rPr>
              <w:t xml:space="preserve">, </w:t>
            </w:r>
            <w:hyperlink r:id="rId9">
              <w:r>
                <w:rPr>
                  <w:rStyle w:val="InternetLink"/>
                  <w:rFonts w:ascii="Times New Roman" w:hAnsi="Times New Roman"/>
                  <w:sz w:val="20"/>
                </w:rPr>
                <w:t>May  6, 2025</w:t>
              </w:r>
            </w:hyperlink>
            <w:r>
              <w:rPr>
                <w:rFonts w:ascii="Times New Roman" w:hAnsi="Times New Roman"/>
                <w:sz w:val="20"/>
              </w:rPr>
              <w:t xml:space="preserve">, </w:t>
            </w:r>
            <w:hyperlink r:id="rId10">
              <w:r>
                <w:rPr>
                  <w:rStyle w:val="InternetLink"/>
                  <w:rFonts w:ascii="Times New Roman" w:hAnsi="Times New Roman"/>
                  <w:sz w:val="20"/>
                </w:rPr>
                <w:t>May  20, 2025</w:t>
              </w:r>
            </w:hyperlink>
            <w:r>
              <w:rPr>
                <w:rFonts w:ascii="Times New Roman" w:hAnsi="Times New Roman"/>
                <w:sz w:val="20"/>
              </w:rPr>
              <w:t xml:space="preserve">, </w:t>
            </w:r>
            <w:hyperlink r:id="rId11">
              <w:r>
                <w:rPr>
                  <w:rStyle w:val="InternetLink"/>
                  <w:rFonts w:ascii="Times New Roman" w:hAnsi="Times New Roman"/>
                  <w:sz w:val="20"/>
                </w:rPr>
                <w:t>May  29, 2025</w:t>
              </w:r>
            </w:hyperlink>
            <w:r>
              <w:rPr>
                <w:rFonts w:ascii="Times New Roman" w:hAnsi="Times New Roman"/>
                <w:sz w:val="20"/>
              </w:rPr>
              <w:t xml:space="preserve">, </w:t>
            </w:r>
            <w:hyperlink r:id="rId12">
              <w:r>
                <w:rPr>
                  <w:rStyle w:val="InternetLink"/>
                  <w:rFonts w:ascii="Times New Roman" w:hAnsi="Times New Roman"/>
                  <w:sz w:val="20"/>
                </w:rPr>
                <w:t>June  26, 2025</w:t>
              </w:r>
            </w:hyperlink>
            <w:r>
              <w:rPr>
                <w:rFonts w:ascii="Times New Roman" w:hAnsi="Times New Roman"/>
                <w:sz w:val="20"/>
              </w:rPr>
              <w:t xml:space="preserve">, and </w:t>
            </w:r>
            <w:hyperlink r:id="rId13">
              <w:r>
                <w:rPr>
                  <w:rStyle w:val="InternetLink"/>
                  <w:rFonts w:ascii="Times New Roman" w:hAnsi="Times New Roman"/>
                  <w:sz w:val="20"/>
                </w:rPr>
                <w:t>July 16,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Class  A common stock, which is contained in </w:t>
            </w:r>
            <w:hyperlink r:id="rId14">
              <w:r>
                <w:rPr>
                  <w:rStyle w:val="InternetLink"/>
                  <w:rFonts w:ascii="Times New Roman" w:hAnsi="Times New Roman"/>
                  <w:sz w:val="20"/>
                </w:rPr>
                <w:t>Exhibit 4.2</w:t>
              </w:r>
            </w:hyperlink>
            <w:r>
              <w:rPr>
                <w:rFonts w:ascii="Times New Roman" w:hAnsi="Times New Roman"/>
                <w:sz w:val="20"/>
              </w:rPr>
              <w:t xml:space="preserve"> of our Annual Report on Form 10-K for the year ended December 31, 2024 filed with the SEC on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Rani Therapeutics Holdings, Inc. </w:t>
      </w:r>
    </w:p>
    <w:p>
      <w:pPr>
        <w:pStyle w:val="TextBody"/>
        <w:bidi w:val="0"/>
        <w:spacing w:before="0" w:after="0"/>
        <w:jc w:val="center"/>
        <w:rPr>
          <w:rFonts w:ascii="Times New Roman" w:hAnsi="Times New Roman"/>
          <w:sz w:val="20"/>
        </w:rPr>
      </w:pPr>
      <w:r>
        <w:rPr>
          <w:rFonts w:ascii="Times New Roman" w:hAnsi="Times New Roman"/>
          <w:sz w:val="20"/>
        </w:rPr>
        <w:t xml:space="preserve">2051 Ringwood Avenue </w:t>
      </w:r>
    </w:p>
    <w:p>
      <w:pPr>
        <w:pStyle w:val="TextBody"/>
        <w:bidi w:val="0"/>
        <w:spacing w:before="0" w:after="0"/>
        <w:jc w:val="center"/>
        <w:rPr>
          <w:rFonts w:ascii="Times New Roman" w:hAnsi="Times New Roman"/>
          <w:sz w:val="20"/>
        </w:rPr>
      </w:pPr>
      <w:r>
        <w:rPr>
          <w:rFonts w:ascii="Times New Roman" w:hAnsi="Times New Roman"/>
          <w:sz w:val="20"/>
        </w:rPr>
        <w:t xml:space="preserve">San Jose, California 95131 </w:t>
      </w:r>
    </w:p>
    <w:p>
      <w:pPr>
        <w:pStyle w:val="TextBody"/>
        <w:bidi w:val="0"/>
        <w:spacing w:before="0" w:after="0"/>
        <w:jc w:val="center"/>
        <w:rPr>
          <w:rFonts w:ascii="Times New Roman" w:hAnsi="Times New Roman"/>
          <w:sz w:val="20"/>
        </w:rPr>
      </w:pPr>
      <w:r>
        <w:rPr>
          <w:rFonts w:ascii="Times New Roman" w:hAnsi="Times New Roman"/>
          <w:sz w:val="20"/>
        </w:rPr>
        <w:t xml:space="preserve">Attn: Secretary </w:t>
      </w:r>
    </w:p>
    <w:p>
      <w:pPr>
        <w:pStyle w:val="TextBody"/>
        <w:bidi w:val="0"/>
        <w:spacing w:before="0" w:after="0"/>
        <w:jc w:val="center"/>
        <w:rPr>
          <w:rFonts w:ascii="Times New Roman" w:hAnsi="Times New Roman"/>
          <w:sz w:val="20"/>
        </w:rPr>
      </w:pPr>
      <w:r>
        <w:rPr>
          <w:rFonts w:ascii="Times New Roman" w:hAnsi="Times New Roman"/>
          <w:sz w:val="20"/>
        </w:rPr>
        <w:t xml:space="preserve">(408) 457-3700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Nasdaq Global Market fee and the FINRA filing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7"/>
        <w:gridCol w:w="413"/>
        <w:gridCol w:w="146"/>
        <w:gridCol w:w="779"/>
        <w:gridCol w:w="64"/>
      </w:tblGrid>
      <w:tr>
        <w:trPr/>
        <w:tc>
          <w:tcPr>
            <w:tcW w:w="553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3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4" w:type="dxa"/>
            <w:tcBorders/>
            <w:vAlign w:val="bottom"/>
          </w:tcPr>
          <w:p>
            <w:pPr>
              <w:pStyle w:val="TableContents"/>
              <w:bidi w:val="0"/>
              <w:spacing w:before="0" w:after="283"/>
              <w:jc w:val="left"/>
              <w:rPr/>
            </w:pPr>
            <w:r>
              <w:rPr/>
              <w:t> </w:t>
            </w:r>
          </w:p>
        </w:tc>
      </w:tr>
      <w:tr>
        <w:trPr/>
        <w:tc>
          <w:tcPr>
            <w:tcW w:w="5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12,359</w:t>
            </w:r>
          </w:p>
        </w:tc>
        <w:tc>
          <w:tcPr>
            <w:tcW w:w="64" w:type="dxa"/>
            <w:tcBorders/>
            <w:shd w:fill="CCEEFF" w:val="clear"/>
            <w:vAlign w:val="bottom"/>
          </w:tcPr>
          <w:p>
            <w:pPr>
              <w:pStyle w:val="TableContents"/>
              <w:bidi w:val="0"/>
              <w:spacing w:before="0" w:after="283"/>
              <w:jc w:val="left"/>
              <w:rPr/>
            </w:pPr>
            <w:r>
              <w:rPr/>
              <w:t> </w:t>
            </w:r>
          </w:p>
        </w:tc>
      </w:tr>
      <w:tr>
        <w:trPr/>
        <w:tc>
          <w:tcPr>
            <w:tcW w:w="5537" w:type="dxa"/>
            <w:tcBorders/>
          </w:tcPr>
          <w:p>
            <w:pPr>
              <w:pStyle w:val="TableContents"/>
              <w:bidi w:val="0"/>
              <w:spacing w:before="0" w:after="0"/>
              <w:jc w:val="left"/>
              <w:rPr>
                <w:rFonts w:ascii="Times New Roman" w:hAnsi="Times New Roman"/>
                <w:sz w:val="20"/>
              </w:rPr>
            </w:pPr>
            <w:r>
              <w:rPr>
                <w:rFonts w:ascii="Times New Roman" w:hAnsi="Times New Roman"/>
                <w:sz w:val="20"/>
              </w:rPr>
              <w:t>Nasdaq Global Market fee</w:t>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5537"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5537"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miscellaneous fees and expenses</w:t>
            </w:r>
          </w:p>
        </w:tc>
        <w:tc>
          <w:tcPr>
            <w:tcW w:w="4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553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3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53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Rani. The DGCL provides that Section 145 is not exclusive of other rights to which those seeking indemnification may be entitled under any bylaws, agreement, vote of stockholders or disinterested directors or otherwise. Ranis certificate of incorporation and bylaws provide for indemnification by the Registrant of its directors and officers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Rani has entered into indemnification agreements with each of its directors and executive officers to provide contractual indemnification in addition to the indemnification provided in Ranis certificate of incorporation. Each indemnification agreement provides for indemnification and advancements by Rani of certain expenses and costs relating to claims, suits or proceedings arising from his or her service to Rani or, at Ranis request, service to other entities, as officers or directors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Rani also maintains standard policies of insurance under which coverage is provided (1) to its directors and officers against loss arising from claims made by reason of breach of duty or other wrongful act, while acting in their capacity as directors and officers of Rani, and (2) to Rani with respect to payments which may be made by the Registrant to such officers and directors pursuant to any indemnification provision contained in the Registrants certificate of incorporation and bylaws or otherwise as a matter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Rani has entered into a registration rights agreement with the stockholders of the shares of Class A common stock registered hereby which obligates the parties to indemnify, under certain circumstances, the other party, its officers, directors, and controlling persons within the meaning of the Securities Act of 1933, as amended,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that we may enter into (Exhibit 1.1) may provide for indemnification by any underwriters, of us, our directors, our officers who sign the registration statement and our controlling persons for some liabilities, including liabilities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
        <w:gridCol w:w="187"/>
        <w:gridCol w:w="3138"/>
        <w:gridCol w:w="141"/>
        <w:gridCol w:w="568"/>
        <w:gridCol w:w="141"/>
        <w:gridCol w:w="1095"/>
        <w:gridCol w:w="141"/>
        <w:gridCol w:w="92"/>
        <w:gridCol w:w="678"/>
        <w:gridCol w:w="60"/>
        <w:gridCol w:w="141"/>
        <w:gridCol w:w="1869"/>
        <w:gridCol w:w="141"/>
        <w:gridCol w:w="885"/>
      </w:tblGrid>
      <w:tr>
        <w:trPr/>
        <w:tc>
          <w:tcPr>
            <w:tcW w:w="928"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92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13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811" w:type="dxa"/>
            <w:gridSpan w:val="11"/>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92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87" w:type="dxa"/>
            <w:tcBorders/>
            <w:vAlign w:val="bottom"/>
          </w:tcPr>
          <w:p>
            <w:pPr>
              <w:pStyle w:val="TableContents"/>
              <w:bidi w:val="0"/>
              <w:spacing w:before="0" w:after="283"/>
              <w:jc w:val="left"/>
              <w:rPr/>
            </w:pPr>
            <w:r>
              <w:rPr/>
              <w:t>  </w:t>
            </w:r>
          </w:p>
        </w:tc>
        <w:tc>
          <w:tcPr>
            <w:tcW w:w="31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41" w:type="dxa"/>
            <w:tcBorders/>
            <w:vAlign w:val="bottom"/>
          </w:tcPr>
          <w:p>
            <w:pPr>
              <w:pStyle w:val="TableContents"/>
              <w:bidi w:val="0"/>
              <w:spacing w:before="0" w:after="283"/>
              <w:jc w:val="left"/>
              <w:rPr/>
            </w:pPr>
            <w:r>
              <w:rPr/>
              <w:t>  </w:t>
            </w:r>
          </w:p>
        </w:tc>
        <w:tc>
          <w:tcPr>
            <w:tcW w:w="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41" w:type="dxa"/>
            <w:tcBorders/>
            <w:vAlign w:val="bottom"/>
          </w:tcPr>
          <w:p>
            <w:pPr>
              <w:pStyle w:val="TableContents"/>
              <w:bidi w:val="0"/>
              <w:spacing w:before="0" w:after="283"/>
              <w:jc w:val="left"/>
              <w:rPr/>
            </w:pPr>
            <w:r>
              <w:rPr/>
              <w:t>  </w:t>
            </w:r>
          </w:p>
        </w:tc>
        <w:tc>
          <w:tcPr>
            <w:tcW w:w="1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 File No.</w:t>
            </w:r>
          </w:p>
        </w:tc>
        <w:tc>
          <w:tcPr>
            <w:tcW w:w="141"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41" w:type="dxa"/>
            <w:tcBorders/>
            <w:vAlign w:val="bottom"/>
          </w:tcPr>
          <w:p>
            <w:pPr>
              <w:pStyle w:val="TableContents"/>
              <w:bidi w:val="0"/>
              <w:spacing w:before="0" w:after="283"/>
              <w:jc w:val="left"/>
              <w:rPr/>
            </w:pPr>
            <w:r>
              <w:rPr/>
              <w:t>  </w:t>
            </w:r>
          </w:p>
        </w:tc>
        <w:tc>
          <w:tcPr>
            <w:tcW w:w="8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Filed</w:t>
              <w:br/>
              <w:t>Herewith</w:t>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1.1*</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Form of Underwriting Agreement</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3.1</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15">
              <w:r>
                <w:rPr>
                  <w:rStyle w:val="InternetLink"/>
                </w:rPr>
                <w:t xml:space="preserve">Amended and Restated Certificate of Incorporation of the Registrant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S-1/A</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333-257809</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3.1</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July 26, 2021</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3.2</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16">
              <w:r>
                <w:rPr>
                  <w:rStyle w:val="InternetLink"/>
                </w:rPr>
                <w:t>Amended and Restated Bylaws of the Registrant</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S-1</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333-257809</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3.4</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July 9, 2021</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4.1</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 xml:space="preserve">Reference is made to Exhibits </w:t>
            </w:r>
            <w:hyperlink r:id="rId17">
              <w:r>
                <w:rPr>
                  <w:rStyle w:val="InternetLink"/>
                </w:rPr>
                <w:t>3.1</w:t>
              </w:r>
            </w:hyperlink>
            <w:r>
              <w:rPr/>
              <w:t xml:space="preserve"> through </w:t>
            </w:r>
            <w:hyperlink r:id="rId18">
              <w:r>
                <w:rPr>
                  <w:rStyle w:val="InternetLink"/>
                </w:rPr>
                <w:t>3.2</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4.2</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19">
              <w:r>
                <w:rPr>
                  <w:rStyle w:val="InternetLink"/>
                </w:rPr>
                <w:t>Specimen Class A common stock certificate of the Registrant</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S-1/A</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333-257809</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4.1</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July 26, 2021</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4.3*</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Specimen Preferred Stock Certificate and Form of Certificate of Designation of Preferred Stock</w:t>
            </w:r>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4.4</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0">
              <w:r>
                <w:rPr>
                  <w:rStyle w:val="InternetLink"/>
                </w:rPr>
                <w:t>Form of Indenture</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S-3</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333-266444</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4.4</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August 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4.5*</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Form of Debt Securities</w:t>
            </w:r>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4.6</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1">
              <w:r>
                <w:rPr>
                  <w:rStyle w:val="InternetLink"/>
                </w:rPr>
                <w:t xml:space="preserve">Form of Class A Common Stock Warrant Agreement and Warrant Certificate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S-3</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333-266444</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4.6</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August 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4.7</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2">
              <w:r>
                <w:rPr>
                  <w:rStyle w:val="InternetLink"/>
                </w:rPr>
                <w:t xml:space="preserve">Form of Preferred Stock Warrant Agreement and Warrant Certificate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S-3</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333-266444</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4.7</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August 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4.8</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3">
              <w:r>
                <w:rPr>
                  <w:rStyle w:val="InternetLink"/>
                </w:rPr>
                <w:t>Form of Debt Securities Warrant Agreement and Warrant Certificate</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S-3</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333-266444</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4.8</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August 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4.9</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4">
              <w:r>
                <w:rPr>
                  <w:rStyle w:val="InternetLink"/>
                </w:rPr>
                <w:t xml:space="preserve">Tax Receivable Agreement, effective as of August 3, 2021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10-K</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001-40672</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10.1</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March 31,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4.10</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5">
              <w:r>
                <w:rPr>
                  <w:rStyle w:val="InternetLink"/>
                </w:rPr>
                <w:t xml:space="preserve">Class B Unit Exchange Agreement, effective as of August 3, 2021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10-K</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001-40672</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10.2</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March 31,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4.11</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6">
              <w:r>
                <w:rPr>
                  <w:rStyle w:val="InternetLink"/>
                </w:rPr>
                <w:t xml:space="preserve">Registration Rights Agreement, effective as of August 3, 2021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10-K</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001-40672</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10.3</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March 31, 2022</w:t>
            </w:r>
          </w:p>
        </w:tc>
        <w:tc>
          <w:tcPr>
            <w:tcW w:w="14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8"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971" w:type="dxa"/>
            <w:gridSpan w:val="4"/>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928" w:type="dxa"/>
            <w:tcBorders/>
          </w:tcPr>
          <w:p>
            <w:pPr>
              <w:pStyle w:val="TableContents"/>
              <w:bidi w:val="0"/>
              <w:spacing w:before="0" w:after="283"/>
              <w:jc w:val="left"/>
              <w:rPr/>
            </w:pPr>
            <w:r>
              <w:rPr/>
              <w:t>  </w:t>
            </w:r>
            <w:r>
              <w:rPr/>
              <w:t>4.12</w:t>
            </w:r>
          </w:p>
        </w:tc>
        <w:tc>
          <w:tcPr>
            <w:tcW w:w="187"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hyperlink r:id="rId27">
              <w:r>
                <w:rPr>
                  <w:rStyle w:val="InternetLink"/>
                </w:rPr>
                <w:t xml:space="preserve">Fifth Amended and Restated Limited Liability Company Agreement of Rani Therapeutics, LLC, effective as of August 3, 2021 </w:t>
              </w:r>
            </w:hyperlink>
          </w:p>
        </w:tc>
        <w:tc>
          <w:tcPr>
            <w:tcW w:w="141" w:type="dxa"/>
            <w:tcBorders/>
            <w:vAlign w:val="bottom"/>
          </w:tcPr>
          <w:p>
            <w:pPr>
              <w:pStyle w:val="TableContents"/>
              <w:bidi w:val="0"/>
              <w:spacing w:before="0" w:after="283"/>
              <w:jc w:val="left"/>
              <w:rPr/>
            </w:pPr>
            <w:r>
              <w:rPr/>
              <w:t>  </w:t>
            </w:r>
          </w:p>
        </w:tc>
        <w:tc>
          <w:tcPr>
            <w:tcW w:w="568" w:type="dxa"/>
            <w:tcBorders/>
          </w:tcPr>
          <w:p>
            <w:pPr>
              <w:pStyle w:val="TableContents"/>
              <w:bidi w:val="0"/>
              <w:spacing w:before="0" w:after="283"/>
              <w:jc w:val="center"/>
              <w:rPr/>
            </w:pPr>
            <w:r>
              <w:rPr/>
              <w:t>10-K</w:t>
            </w:r>
          </w:p>
        </w:tc>
        <w:tc>
          <w:tcPr>
            <w:tcW w:w="141"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center"/>
              <w:rPr/>
            </w:pPr>
            <w:r>
              <w:rPr/>
              <w:t>001-40672</w:t>
            </w:r>
          </w:p>
        </w:tc>
        <w:tc>
          <w:tcPr>
            <w:tcW w:w="141"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8" w:type="dxa"/>
            <w:tcBorders/>
          </w:tcPr>
          <w:p>
            <w:pPr>
              <w:pStyle w:val="TableContents"/>
              <w:bidi w:val="0"/>
              <w:spacing w:before="0" w:after="283"/>
              <w:jc w:val="center"/>
              <w:rPr/>
            </w:pPr>
            <w:r>
              <w:rPr/>
              <w:t>10.4</w:t>
            </w:r>
          </w:p>
        </w:tc>
        <w:tc>
          <w:tcPr>
            <w:tcW w:w="60" w:type="dxa"/>
            <w:tcBorders/>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69" w:type="dxa"/>
            <w:tcBorders/>
          </w:tcPr>
          <w:p>
            <w:pPr>
              <w:pStyle w:val="TableContents"/>
              <w:bidi w:val="0"/>
              <w:spacing w:before="0" w:after="283"/>
              <w:jc w:val="right"/>
              <w:rPr/>
            </w:pPr>
            <w:r>
              <w:rPr/>
              <w:t>March 31, 2022</w:t>
            </w:r>
          </w:p>
        </w:tc>
        <w:tc>
          <w:tcPr>
            <w:tcW w:w="141" w:type="dxa"/>
            <w:tcBorders/>
            <w:vAlign w:val="bottom"/>
          </w:tcPr>
          <w:p>
            <w:pPr>
              <w:pStyle w:val="TableContents"/>
              <w:bidi w:val="0"/>
              <w:spacing w:before="0" w:after="283"/>
              <w:jc w:val="left"/>
              <w:rPr/>
            </w:pPr>
            <w:r>
              <w:rPr/>
              <w:t>  </w:t>
            </w:r>
          </w:p>
        </w:tc>
        <w:tc>
          <w:tcPr>
            <w:tcW w:w="88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6"/>
        <w:gridCol w:w="190"/>
        <w:gridCol w:w="3532"/>
        <w:gridCol w:w="190"/>
        <w:gridCol w:w="549"/>
        <w:gridCol w:w="190"/>
        <w:gridCol w:w="1272"/>
        <w:gridCol w:w="190"/>
        <w:gridCol w:w="385"/>
        <w:gridCol w:w="385"/>
        <w:gridCol w:w="60"/>
        <w:gridCol w:w="190"/>
        <w:gridCol w:w="1081"/>
        <w:gridCol w:w="190"/>
        <w:gridCol w:w="925"/>
      </w:tblGrid>
      <w:tr>
        <w:trPr/>
        <w:tc>
          <w:tcPr>
            <w:tcW w:w="876"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353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5417" w:type="dxa"/>
            <w:gridSpan w:val="11"/>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87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90" w:type="dxa"/>
            <w:tcBorders/>
            <w:vAlign w:val="bottom"/>
          </w:tcPr>
          <w:p>
            <w:pPr>
              <w:pStyle w:val="TableContents"/>
              <w:bidi w:val="0"/>
              <w:spacing w:before="0" w:after="283"/>
              <w:jc w:val="left"/>
              <w:rPr/>
            </w:pPr>
            <w:r>
              <w:rPr/>
              <w:t>  </w:t>
            </w:r>
          </w:p>
        </w:tc>
        <w:tc>
          <w:tcPr>
            <w:tcW w:w="35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90" w:type="dxa"/>
            <w:tcBorders/>
            <w:vAlign w:val="bottom"/>
          </w:tcPr>
          <w:p>
            <w:pPr>
              <w:pStyle w:val="TableContents"/>
              <w:bidi w:val="0"/>
              <w:spacing w:before="0" w:after="283"/>
              <w:jc w:val="left"/>
              <w:rPr/>
            </w:pPr>
            <w:r>
              <w:rPr/>
              <w:t>  </w:t>
            </w:r>
          </w:p>
        </w:tc>
        <w:tc>
          <w:tcPr>
            <w:tcW w:w="5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90" w:type="dxa"/>
            <w:tcBorders/>
            <w:vAlign w:val="bottom"/>
          </w:tcPr>
          <w:p>
            <w:pPr>
              <w:pStyle w:val="TableContents"/>
              <w:bidi w:val="0"/>
              <w:spacing w:before="0" w:after="283"/>
              <w:jc w:val="left"/>
              <w:rPr/>
            </w:pPr>
            <w:r>
              <w:rPr/>
              <w:t>  </w:t>
            </w:r>
          </w:p>
        </w:tc>
        <w:tc>
          <w:tcPr>
            <w:tcW w:w="12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 File No.</w:t>
            </w:r>
          </w:p>
        </w:tc>
        <w:tc>
          <w:tcPr>
            <w:tcW w:w="19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90" w:type="dxa"/>
            <w:tcBorders/>
            <w:vAlign w:val="bottom"/>
          </w:tcPr>
          <w:p>
            <w:pPr>
              <w:pStyle w:val="TableContents"/>
              <w:bidi w:val="0"/>
              <w:spacing w:before="0" w:after="283"/>
              <w:jc w:val="left"/>
              <w:rPr/>
            </w:pPr>
            <w:r>
              <w:rPr/>
              <w:t>  </w:t>
            </w:r>
          </w:p>
        </w:tc>
        <w:tc>
          <w:tcPr>
            <w:tcW w:w="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Filed</w:t>
              <w:br/>
              <w:t>Herewith</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5.1</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hyperlink w:anchor="d66414dex51.htm">
              <w:r>
                <w:rPr>
                  <w:rStyle w:val="InternetLink"/>
                </w:rPr>
                <w:t>Opinion of Cooley LLP</w:t>
              </w:r>
            </w:hyperlink>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23.1</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hyperlink w:anchor="d66414dex231.htm">
              <w:r>
                <w:rPr>
                  <w:rStyle w:val="InternetLink"/>
                </w:rPr>
                <w:t>Consent of Marcum LLP, Independent Registered Public Accounting Firm</w:t>
              </w:r>
            </w:hyperlink>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23.2</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hyperlink w:anchor="d66414dex232.htm">
              <w:r>
                <w:rPr>
                  <w:rStyle w:val="InternetLink"/>
                </w:rPr>
                <w:t xml:space="preserve">Consent of Ernst and Young LLP, Independent Registered Public Accounting Firm </w:t>
              </w:r>
            </w:hyperlink>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23.3</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 xml:space="preserve">Consent of Cooley LLP (included in </w:t>
            </w:r>
            <w:hyperlink w:anchor="d66414dex51.htm">
              <w:r>
                <w:rPr>
                  <w:rStyle w:val="InternetLink"/>
                </w:rPr>
                <w:t>Exhibit 5.1</w:t>
              </w:r>
            </w:hyperlink>
            <w:r>
              <w:rPr/>
              <w:t>)</w:t>
            </w:r>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24.1</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hyperlink w:anchor="sig">
              <w:r>
                <w:rPr>
                  <w:rStyle w:val="InternetLink"/>
                </w:rPr>
                <w:t>Power of Attorney. Reference is made to the signature pages of this Form S-3</w:t>
              </w:r>
            </w:hyperlink>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25.1**</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Statement of Eligibility of Trustee under the Indenture</w:t>
            </w:r>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left"/>
              <w:rPr>
                <w:sz w:val="4"/>
                <w:szCs w:val="4"/>
              </w:rPr>
            </w:pPr>
            <w:r>
              <w:rPr>
                <w:sz w:val="4"/>
                <w:szCs w:val="4"/>
              </w:rPr>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462" w:type="dxa"/>
            <w:gridSpan w:val="2"/>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c>
          <w:tcPr>
            <w:tcW w:w="1271"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107</w:t>
            </w:r>
          </w:p>
        </w:tc>
        <w:tc>
          <w:tcPr>
            <w:tcW w:w="19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hyperlink w:anchor="d66414dexfilingfees.htm">
              <w:r>
                <w:rPr>
                  <w:rStyle w:val="InternetLink"/>
                </w:rPr>
                <w:t xml:space="preserve">Filing Fee Table </w:t>
              </w:r>
            </w:hyperlink>
          </w:p>
        </w:tc>
        <w:tc>
          <w:tcPr>
            <w:tcW w:w="19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272"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38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08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X</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report filed under the Exchange Act and incorporated herein by reference, if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and the applicable rules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Rule 424(b) if, in the aggregate, the changes in volume and price represent no more than a </w:t>
      </w:r>
    </w:p>
    <w:p>
      <w:pPr>
        <w:pStyle w:val="TextBody"/>
        <w:bidi w:val="0"/>
        <w:spacing w:before="120" w:after="0"/>
        <w:jc w:val="left"/>
        <w:rPr>
          <w:rFonts w:ascii="Times New Roman" w:hAnsi="Times New Roman"/>
          <w:sz w:val="20"/>
        </w:rPr>
      </w:pPr>
      <w:r>
        <w:rPr>
          <w:rFonts w:ascii="Times New Roman" w:hAnsi="Times New Roman"/>
          <w:sz w:val="20"/>
        </w:rPr>
        <w:t xml:space="preserve">20% change in the maximum aggregate offering price set forth in the Calculation of Registration Fee table in the effective registration statement;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August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RANI THERAPEUTICS HOLDINGS,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Talat Imran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Talat Imran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Talat Imran and Svai Sanford,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Rani Therapeutics Holdings,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5"/>
        <w:gridCol w:w="120"/>
        <w:gridCol w:w="4154"/>
        <w:gridCol w:w="189"/>
        <w:gridCol w:w="1987"/>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5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1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89" w:type="dxa"/>
            <w:tcBorders/>
            <w:vAlign w:val="bottom"/>
          </w:tcPr>
          <w:p>
            <w:pPr>
              <w:pStyle w:val="TableContents"/>
              <w:bidi w:val="0"/>
              <w:spacing w:before="0" w:after="283"/>
              <w:jc w:val="left"/>
              <w:rPr/>
            </w:pPr>
            <w:r>
              <w:rPr/>
              <w:t> </w:t>
            </w:r>
          </w:p>
        </w:tc>
        <w:tc>
          <w:tcPr>
            <w:tcW w:w="19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3755" w:type="dxa"/>
            <w:tcBorders/>
            <w:vAlign w:val="center"/>
          </w:tcPr>
          <w:p>
            <w:pPr>
              <w:pStyle w:val="TableContents"/>
              <w:bidi w:val="0"/>
              <w:spacing w:before="0" w:after="283"/>
              <w:jc w:val="left"/>
              <w:rPr>
                <w:sz w:val="4"/>
                <w:szCs w:val="4"/>
              </w:rPr>
            </w:pPr>
            <w:r>
              <w:rPr>
                <w:sz w:val="4"/>
                <w:szCs w:val="4"/>
              </w:rPr>
            </w:r>
          </w:p>
        </w:tc>
        <w:tc>
          <w:tcPr>
            <w:tcW w:w="4274"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37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Talat Imran</w:t>
            </w:r>
          </w:p>
          <w:p>
            <w:pPr>
              <w:pStyle w:val="TableContents"/>
              <w:bidi w:val="0"/>
              <w:spacing w:before="0" w:after="20"/>
              <w:jc w:val="left"/>
              <w:rPr>
                <w:rFonts w:ascii="Times New Roman" w:hAnsi="Times New Roman"/>
                <w:sz w:val="20"/>
              </w:rPr>
            </w:pPr>
            <w:r>
              <w:rPr>
                <w:rFonts w:ascii="Times New Roman" w:hAnsi="Times New Roman"/>
                <w:sz w:val="20"/>
              </w:rPr>
              <w:t>Talat Imran</w:t>
            </w:r>
          </w:p>
        </w:tc>
        <w:tc>
          <w:tcPr>
            <w:tcW w:w="120"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center"/>
              <w:rPr>
                <w:rFonts w:ascii="Times New Roman" w:hAnsi="Times New Roman"/>
                <w:sz w:val="20"/>
              </w:rPr>
            </w:pPr>
            <w:r>
              <w:rPr>
                <w:rFonts w:ascii="Times New Roman" w:hAnsi="Times New Roman"/>
                <w:sz w:val="20"/>
              </w:rPr>
              <w:t xml:space="preserve">Chief Executive Officer and Director </w:t>
            </w:r>
            <w:r>
              <w:rPr>
                <w:rFonts w:ascii="Times New Roman" w:hAnsi="Times New Roman"/>
                <w:i/>
                <w:sz w:val="20"/>
              </w:rPr>
              <w:t>(Principal Executive Officer)</w:t>
            </w:r>
          </w:p>
        </w:tc>
        <w:tc>
          <w:tcPr>
            <w:tcW w:w="189" w:type="dxa"/>
            <w:tcBorders/>
            <w:vAlign w:val="bottom"/>
          </w:tcPr>
          <w:p>
            <w:pPr>
              <w:pStyle w:val="TableContents"/>
              <w:bidi w:val="0"/>
              <w:spacing w:before="0" w:after="283"/>
              <w:jc w:val="left"/>
              <w:rPr/>
            </w:pPr>
            <w:r>
              <w:rPr/>
              <w:t> </w:t>
            </w:r>
          </w:p>
        </w:tc>
        <w:tc>
          <w:tcPr>
            <w:tcW w:w="1987" w:type="dxa"/>
            <w:tcBorders/>
          </w:tcPr>
          <w:p>
            <w:pPr>
              <w:pStyle w:val="TableContents"/>
              <w:bidi w:val="0"/>
              <w:spacing w:before="0" w:after="283"/>
              <w:jc w:val="center"/>
              <w:rPr/>
            </w:pPr>
            <w:r>
              <w:rPr/>
              <w:t>August 8, 2025</w:t>
            </w:r>
          </w:p>
        </w:tc>
      </w:tr>
      <w:tr>
        <w:trPr>
          <w:trHeight w:val="240" w:hRule="atLeast"/>
        </w:trPr>
        <w:tc>
          <w:tcPr>
            <w:tcW w:w="3755" w:type="dxa"/>
            <w:tcBorders/>
            <w:vAlign w:val="center"/>
          </w:tcPr>
          <w:p>
            <w:pPr>
              <w:pStyle w:val="TableContents"/>
              <w:bidi w:val="0"/>
              <w:spacing w:before="0" w:after="283"/>
              <w:jc w:val="left"/>
              <w:rPr>
                <w:sz w:val="4"/>
                <w:szCs w:val="4"/>
              </w:rPr>
            </w:pPr>
            <w:r>
              <w:rPr>
                <w:sz w:val="4"/>
                <w:szCs w:val="4"/>
              </w:rPr>
            </w:r>
          </w:p>
        </w:tc>
        <w:tc>
          <w:tcPr>
            <w:tcW w:w="4274"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37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Svai Sanford</w:t>
            </w:r>
          </w:p>
          <w:p>
            <w:pPr>
              <w:pStyle w:val="TableContents"/>
              <w:bidi w:val="0"/>
              <w:spacing w:before="0" w:after="20"/>
              <w:jc w:val="left"/>
              <w:rPr>
                <w:rFonts w:ascii="Times New Roman" w:hAnsi="Times New Roman"/>
                <w:sz w:val="20"/>
              </w:rPr>
            </w:pPr>
            <w:r>
              <w:rPr>
                <w:rFonts w:ascii="Times New Roman" w:hAnsi="Times New Roman"/>
                <w:sz w:val="20"/>
              </w:rPr>
              <w:t>Svai Sanford</w:t>
            </w:r>
          </w:p>
        </w:tc>
        <w:tc>
          <w:tcPr>
            <w:tcW w:w="120"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89" w:type="dxa"/>
            <w:tcBorders/>
            <w:vAlign w:val="bottom"/>
          </w:tcPr>
          <w:p>
            <w:pPr>
              <w:pStyle w:val="TableContents"/>
              <w:bidi w:val="0"/>
              <w:spacing w:before="0" w:after="283"/>
              <w:jc w:val="left"/>
              <w:rPr/>
            </w:pPr>
            <w:r>
              <w:rPr/>
              <w:t> </w:t>
            </w:r>
          </w:p>
        </w:tc>
        <w:tc>
          <w:tcPr>
            <w:tcW w:w="1987" w:type="dxa"/>
            <w:tcBorders/>
          </w:tcPr>
          <w:p>
            <w:pPr>
              <w:pStyle w:val="TableContents"/>
              <w:bidi w:val="0"/>
              <w:spacing w:before="0" w:after="283"/>
              <w:jc w:val="center"/>
              <w:rPr/>
            </w:pPr>
            <w:r>
              <w:rPr/>
              <w:t>August 8, 2025</w:t>
            </w:r>
          </w:p>
        </w:tc>
      </w:tr>
      <w:tr>
        <w:trPr>
          <w:trHeight w:val="240" w:hRule="atLeast"/>
        </w:trPr>
        <w:tc>
          <w:tcPr>
            <w:tcW w:w="3755" w:type="dxa"/>
            <w:tcBorders/>
            <w:vAlign w:val="center"/>
          </w:tcPr>
          <w:p>
            <w:pPr>
              <w:pStyle w:val="TableContents"/>
              <w:bidi w:val="0"/>
              <w:spacing w:before="0" w:after="283"/>
              <w:jc w:val="left"/>
              <w:rPr>
                <w:sz w:val="4"/>
                <w:szCs w:val="4"/>
              </w:rPr>
            </w:pPr>
            <w:r>
              <w:rPr>
                <w:sz w:val="4"/>
                <w:szCs w:val="4"/>
              </w:rPr>
            </w:r>
          </w:p>
        </w:tc>
        <w:tc>
          <w:tcPr>
            <w:tcW w:w="4274"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37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Mir Imran</w:t>
            </w:r>
          </w:p>
          <w:p>
            <w:pPr>
              <w:pStyle w:val="TableContents"/>
              <w:bidi w:val="0"/>
              <w:spacing w:before="0" w:after="20"/>
              <w:jc w:val="left"/>
              <w:rPr>
                <w:rFonts w:ascii="Times New Roman" w:hAnsi="Times New Roman"/>
                <w:sz w:val="20"/>
              </w:rPr>
            </w:pPr>
            <w:r>
              <w:rPr>
                <w:rFonts w:ascii="Times New Roman" w:hAnsi="Times New Roman"/>
                <w:sz w:val="20"/>
              </w:rPr>
              <w:t>Mir Imran</w:t>
            </w:r>
          </w:p>
        </w:tc>
        <w:tc>
          <w:tcPr>
            <w:tcW w:w="120"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9" w:type="dxa"/>
            <w:tcBorders/>
            <w:vAlign w:val="bottom"/>
          </w:tcPr>
          <w:p>
            <w:pPr>
              <w:pStyle w:val="TableContents"/>
              <w:bidi w:val="0"/>
              <w:spacing w:before="0" w:after="283"/>
              <w:jc w:val="left"/>
              <w:rPr/>
            </w:pPr>
            <w:r>
              <w:rPr/>
              <w:t> </w:t>
            </w:r>
          </w:p>
        </w:tc>
        <w:tc>
          <w:tcPr>
            <w:tcW w:w="1987" w:type="dxa"/>
            <w:tcBorders/>
          </w:tcPr>
          <w:p>
            <w:pPr>
              <w:pStyle w:val="TableContents"/>
              <w:bidi w:val="0"/>
              <w:spacing w:before="0" w:after="283"/>
              <w:jc w:val="center"/>
              <w:rPr/>
            </w:pPr>
            <w:r>
              <w:rPr/>
              <w:t>August 8, 2025</w:t>
            </w:r>
          </w:p>
        </w:tc>
      </w:tr>
      <w:tr>
        <w:trPr>
          <w:trHeight w:val="240" w:hRule="atLeast"/>
        </w:trPr>
        <w:tc>
          <w:tcPr>
            <w:tcW w:w="3755" w:type="dxa"/>
            <w:tcBorders/>
            <w:vAlign w:val="center"/>
          </w:tcPr>
          <w:p>
            <w:pPr>
              <w:pStyle w:val="TableContents"/>
              <w:bidi w:val="0"/>
              <w:spacing w:before="0" w:after="283"/>
              <w:jc w:val="left"/>
              <w:rPr>
                <w:sz w:val="4"/>
                <w:szCs w:val="4"/>
              </w:rPr>
            </w:pPr>
            <w:r>
              <w:rPr>
                <w:sz w:val="4"/>
                <w:szCs w:val="4"/>
              </w:rPr>
            </w:r>
          </w:p>
        </w:tc>
        <w:tc>
          <w:tcPr>
            <w:tcW w:w="4274"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37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Dennis Ausiello</w:t>
            </w:r>
          </w:p>
          <w:p>
            <w:pPr>
              <w:pStyle w:val="TableContents"/>
              <w:bidi w:val="0"/>
              <w:spacing w:before="0" w:after="20"/>
              <w:jc w:val="left"/>
              <w:rPr>
                <w:rFonts w:ascii="Times New Roman" w:hAnsi="Times New Roman"/>
                <w:sz w:val="20"/>
              </w:rPr>
            </w:pPr>
            <w:r>
              <w:rPr>
                <w:rFonts w:ascii="Times New Roman" w:hAnsi="Times New Roman"/>
                <w:sz w:val="20"/>
              </w:rPr>
              <w:t>Dennis Ausiello</w:t>
            </w:r>
          </w:p>
        </w:tc>
        <w:tc>
          <w:tcPr>
            <w:tcW w:w="120"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9" w:type="dxa"/>
            <w:tcBorders/>
            <w:vAlign w:val="bottom"/>
          </w:tcPr>
          <w:p>
            <w:pPr>
              <w:pStyle w:val="TableContents"/>
              <w:bidi w:val="0"/>
              <w:spacing w:before="0" w:after="283"/>
              <w:jc w:val="left"/>
              <w:rPr/>
            </w:pPr>
            <w:r>
              <w:rPr/>
              <w:t> </w:t>
            </w:r>
          </w:p>
        </w:tc>
        <w:tc>
          <w:tcPr>
            <w:tcW w:w="1987" w:type="dxa"/>
            <w:tcBorders/>
          </w:tcPr>
          <w:p>
            <w:pPr>
              <w:pStyle w:val="TableContents"/>
              <w:bidi w:val="0"/>
              <w:spacing w:before="0" w:after="283"/>
              <w:jc w:val="center"/>
              <w:rPr/>
            </w:pPr>
            <w:r>
              <w:rPr/>
              <w:t>August 8, 2025</w:t>
            </w:r>
          </w:p>
        </w:tc>
      </w:tr>
      <w:tr>
        <w:trPr>
          <w:trHeight w:val="240" w:hRule="atLeast"/>
        </w:trPr>
        <w:tc>
          <w:tcPr>
            <w:tcW w:w="3755" w:type="dxa"/>
            <w:tcBorders/>
            <w:vAlign w:val="center"/>
          </w:tcPr>
          <w:p>
            <w:pPr>
              <w:pStyle w:val="TableContents"/>
              <w:bidi w:val="0"/>
              <w:spacing w:before="0" w:after="283"/>
              <w:jc w:val="left"/>
              <w:rPr>
                <w:sz w:val="4"/>
                <w:szCs w:val="4"/>
              </w:rPr>
            </w:pPr>
            <w:r>
              <w:rPr>
                <w:sz w:val="4"/>
                <w:szCs w:val="4"/>
              </w:rPr>
            </w:r>
          </w:p>
        </w:tc>
        <w:tc>
          <w:tcPr>
            <w:tcW w:w="4274"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37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Jean-Luc Butel</w:t>
            </w:r>
          </w:p>
          <w:p>
            <w:pPr>
              <w:pStyle w:val="TableContents"/>
              <w:bidi w:val="0"/>
              <w:spacing w:before="0" w:after="20"/>
              <w:jc w:val="left"/>
              <w:rPr>
                <w:rFonts w:ascii="Times New Roman" w:hAnsi="Times New Roman"/>
                <w:sz w:val="20"/>
              </w:rPr>
            </w:pPr>
            <w:r>
              <w:rPr>
                <w:rFonts w:ascii="Times New Roman" w:hAnsi="Times New Roman"/>
                <w:sz w:val="20"/>
              </w:rPr>
              <w:t>Jean-Luc Butel</w:t>
            </w:r>
          </w:p>
        </w:tc>
        <w:tc>
          <w:tcPr>
            <w:tcW w:w="120"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89" w:type="dxa"/>
            <w:tcBorders/>
            <w:vAlign w:val="bottom"/>
          </w:tcPr>
          <w:p>
            <w:pPr>
              <w:pStyle w:val="TableContents"/>
              <w:bidi w:val="0"/>
              <w:spacing w:before="0" w:after="283"/>
              <w:jc w:val="left"/>
              <w:rPr/>
            </w:pPr>
            <w:r>
              <w:rPr/>
              <w:t> </w:t>
            </w:r>
          </w:p>
        </w:tc>
        <w:tc>
          <w:tcPr>
            <w:tcW w:w="1987" w:type="dxa"/>
            <w:tcBorders/>
          </w:tcPr>
          <w:p>
            <w:pPr>
              <w:pStyle w:val="TableContents"/>
              <w:bidi w:val="0"/>
              <w:spacing w:before="0" w:after="283"/>
              <w:jc w:val="center"/>
              <w:rPr/>
            </w:pPr>
            <w:r>
              <w:rPr/>
              <w:t>August 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94"/>
        <w:gridCol w:w="120"/>
        <w:gridCol w:w="3642"/>
        <w:gridCol w:w="206"/>
        <w:gridCol w:w="2043"/>
      </w:tblGrid>
      <w:tr>
        <w:trPr/>
        <w:tc>
          <w:tcPr>
            <w:tcW w:w="41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41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6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6" w:type="dxa"/>
            <w:tcBorders/>
            <w:vAlign w:val="bottom"/>
          </w:tcPr>
          <w:p>
            <w:pPr>
              <w:pStyle w:val="TableContents"/>
              <w:bidi w:val="0"/>
              <w:spacing w:before="0" w:after="283"/>
              <w:jc w:val="left"/>
              <w:rPr/>
            </w:pPr>
            <w:r>
              <w:rPr/>
              <w:t> </w:t>
            </w:r>
          </w:p>
        </w:tc>
        <w:tc>
          <w:tcPr>
            <w:tcW w:w="20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194" w:type="dxa"/>
            <w:tcBorders/>
            <w:vAlign w:val="center"/>
          </w:tcPr>
          <w:p>
            <w:pPr>
              <w:pStyle w:val="TableContents"/>
              <w:bidi w:val="0"/>
              <w:spacing w:before="0" w:after="283"/>
              <w:jc w:val="left"/>
              <w:rPr>
                <w:sz w:val="4"/>
                <w:szCs w:val="4"/>
              </w:rPr>
            </w:pPr>
            <w:r>
              <w:rPr>
                <w:sz w:val="4"/>
                <w:szCs w:val="4"/>
              </w:rPr>
            </w:r>
          </w:p>
        </w:tc>
        <w:tc>
          <w:tcPr>
            <w:tcW w:w="3762" w:type="dxa"/>
            <w:gridSpan w:val="2"/>
            <w:tcBorders/>
            <w:vAlign w:val="center"/>
          </w:tcPr>
          <w:p>
            <w:pPr>
              <w:pStyle w:val="TableContents"/>
              <w:bidi w:val="0"/>
              <w:spacing w:before="0" w:after="283"/>
              <w:jc w:val="left"/>
              <w:rPr>
                <w:sz w:val="4"/>
                <w:szCs w:val="4"/>
              </w:rPr>
            </w:pPr>
            <w:r>
              <w:rPr>
                <w:sz w:val="4"/>
                <w:szCs w:val="4"/>
              </w:rPr>
            </w:r>
          </w:p>
        </w:tc>
        <w:tc>
          <w:tcPr>
            <w:tcW w:w="2249" w:type="dxa"/>
            <w:gridSpan w:val="2"/>
            <w:tcBorders/>
            <w:vAlign w:val="center"/>
          </w:tcPr>
          <w:p>
            <w:pPr>
              <w:pStyle w:val="TableContents"/>
              <w:bidi w:val="0"/>
              <w:spacing w:before="0" w:after="283"/>
              <w:jc w:val="left"/>
              <w:rPr>
                <w:sz w:val="4"/>
                <w:szCs w:val="4"/>
              </w:rPr>
            </w:pPr>
            <w:r>
              <w:rPr>
                <w:sz w:val="4"/>
                <w:szCs w:val="4"/>
              </w:rPr>
            </w:r>
          </w:p>
        </w:tc>
      </w:tr>
      <w:tr>
        <w:trPr/>
        <w:tc>
          <w:tcPr>
            <w:tcW w:w="41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Andrew Farquharson</w:t>
            </w:r>
          </w:p>
          <w:p>
            <w:pPr>
              <w:pStyle w:val="TableContents"/>
              <w:bidi w:val="0"/>
              <w:spacing w:before="0" w:after="20"/>
              <w:jc w:val="left"/>
              <w:rPr>
                <w:rFonts w:ascii="Times New Roman" w:hAnsi="Times New Roman"/>
                <w:sz w:val="20"/>
              </w:rPr>
            </w:pPr>
            <w:r>
              <w:rPr>
                <w:rFonts w:ascii="Times New Roman" w:hAnsi="Times New Roman"/>
                <w:sz w:val="20"/>
              </w:rPr>
              <w:t>Andrew Farquharson</w:t>
            </w:r>
          </w:p>
        </w:tc>
        <w:tc>
          <w:tcPr>
            <w:tcW w:w="120"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6"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pPr>
            <w:r>
              <w:rPr/>
              <w:t>August 8, 2025</w:t>
            </w:r>
          </w:p>
        </w:tc>
      </w:tr>
      <w:tr>
        <w:trPr>
          <w:trHeight w:val="240" w:hRule="atLeast"/>
        </w:trPr>
        <w:tc>
          <w:tcPr>
            <w:tcW w:w="4194" w:type="dxa"/>
            <w:tcBorders/>
            <w:vAlign w:val="center"/>
          </w:tcPr>
          <w:p>
            <w:pPr>
              <w:pStyle w:val="TableContents"/>
              <w:bidi w:val="0"/>
              <w:spacing w:before="0" w:after="283"/>
              <w:jc w:val="left"/>
              <w:rPr>
                <w:sz w:val="4"/>
                <w:szCs w:val="4"/>
              </w:rPr>
            </w:pPr>
            <w:r>
              <w:rPr>
                <w:sz w:val="4"/>
                <w:szCs w:val="4"/>
              </w:rPr>
            </w:r>
          </w:p>
        </w:tc>
        <w:tc>
          <w:tcPr>
            <w:tcW w:w="3762" w:type="dxa"/>
            <w:gridSpan w:val="2"/>
            <w:tcBorders/>
            <w:vAlign w:val="center"/>
          </w:tcPr>
          <w:p>
            <w:pPr>
              <w:pStyle w:val="TableContents"/>
              <w:bidi w:val="0"/>
              <w:spacing w:before="0" w:after="283"/>
              <w:jc w:val="left"/>
              <w:rPr>
                <w:sz w:val="4"/>
                <w:szCs w:val="4"/>
              </w:rPr>
            </w:pPr>
            <w:r>
              <w:rPr>
                <w:sz w:val="4"/>
                <w:szCs w:val="4"/>
              </w:rPr>
            </w:r>
          </w:p>
        </w:tc>
        <w:tc>
          <w:tcPr>
            <w:tcW w:w="2249" w:type="dxa"/>
            <w:gridSpan w:val="2"/>
            <w:tcBorders/>
            <w:vAlign w:val="center"/>
          </w:tcPr>
          <w:p>
            <w:pPr>
              <w:pStyle w:val="TableContents"/>
              <w:bidi w:val="0"/>
              <w:spacing w:before="0" w:after="283"/>
              <w:jc w:val="left"/>
              <w:rPr>
                <w:sz w:val="4"/>
                <w:szCs w:val="4"/>
              </w:rPr>
            </w:pPr>
            <w:r>
              <w:rPr>
                <w:sz w:val="4"/>
                <w:szCs w:val="4"/>
              </w:rPr>
            </w:r>
          </w:p>
        </w:tc>
      </w:tr>
      <w:tr>
        <w:trPr/>
        <w:tc>
          <w:tcPr>
            <w:tcW w:w="41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Maulik Nanavaty</w:t>
            </w:r>
          </w:p>
          <w:p>
            <w:pPr>
              <w:pStyle w:val="TableContents"/>
              <w:bidi w:val="0"/>
              <w:spacing w:before="0" w:after="20"/>
              <w:jc w:val="left"/>
              <w:rPr>
                <w:rFonts w:ascii="Times New Roman" w:hAnsi="Times New Roman"/>
                <w:sz w:val="20"/>
              </w:rPr>
            </w:pPr>
            <w:r>
              <w:rPr>
                <w:rFonts w:ascii="Times New Roman" w:hAnsi="Times New Roman"/>
                <w:sz w:val="20"/>
              </w:rPr>
              <w:t>Maulik Nanavaty</w:t>
            </w:r>
          </w:p>
        </w:tc>
        <w:tc>
          <w:tcPr>
            <w:tcW w:w="120"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6"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pPr>
            <w:r>
              <w:rPr/>
              <w:t>August 8, 2025</w:t>
            </w:r>
          </w:p>
        </w:tc>
      </w:tr>
      <w:tr>
        <w:trPr>
          <w:trHeight w:val="240" w:hRule="atLeast"/>
        </w:trPr>
        <w:tc>
          <w:tcPr>
            <w:tcW w:w="4194" w:type="dxa"/>
            <w:tcBorders/>
            <w:vAlign w:val="center"/>
          </w:tcPr>
          <w:p>
            <w:pPr>
              <w:pStyle w:val="TableContents"/>
              <w:bidi w:val="0"/>
              <w:spacing w:before="0" w:after="283"/>
              <w:jc w:val="left"/>
              <w:rPr>
                <w:sz w:val="4"/>
                <w:szCs w:val="4"/>
              </w:rPr>
            </w:pPr>
            <w:r>
              <w:rPr>
                <w:sz w:val="4"/>
                <w:szCs w:val="4"/>
              </w:rPr>
            </w:r>
          </w:p>
        </w:tc>
        <w:tc>
          <w:tcPr>
            <w:tcW w:w="3762" w:type="dxa"/>
            <w:gridSpan w:val="2"/>
            <w:tcBorders/>
            <w:vAlign w:val="center"/>
          </w:tcPr>
          <w:p>
            <w:pPr>
              <w:pStyle w:val="TableContents"/>
              <w:bidi w:val="0"/>
              <w:spacing w:before="0" w:after="283"/>
              <w:jc w:val="left"/>
              <w:rPr>
                <w:sz w:val="4"/>
                <w:szCs w:val="4"/>
              </w:rPr>
            </w:pPr>
            <w:r>
              <w:rPr>
                <w:sz w:val="4"/>
                <w:szCs w:val="4"/>
              </w:rPr>
            </w:r>
          </w:p>
        </w:tc>
        <w:tc>
          <w:tcPr>
            <w:tcW w:w="2249" w:type="dxa"/>
            <w:gridSpan w:val="2"/>
            <w:tcBorders/>
            <w:vAlign w:val="center"/>
          </w:tcPr>
          <w:p>
            <w:pPr>
              <w:pStyle w:val="TableContents"/>
              <w:bidi w:val="0"/>
              <w:spacing w:before="0" w:after="283"/>
              <w:jc w:val="left"/>
              <w:rPr>
                <w:sz w:val="4"/>
                <w:szCs w:val="4"/>
              </w:rPr>
            </w:pPr>
            <w:r>
              <w:rPr>
                <w:sz w:val="4"/>
                <w:szCs w:val="4"/>
              </w:rPr>
            </w:r>
          </w:p>
        </w:tc>
      </w:tr>
      <w:tr>
        <w:trPr/>
        <w:tc>
          <w:tcPr>
            <w:tcW w:w="41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Lisa Rometty</w:t>
            </w:r>
          </w:p>
          <w:p>
            <w:pPr>
              <w:pStyle w:val="TableContents"/>
              <w:bidi w:val="0"/>
              <w:spacing w:before="0" w:after="20"/>
              <w:jc w:val="left"/>
              <w:rPr>
                <w:rFonts w:ascii="Times New Roman" w:hAnsi="Times New Roman"/>
                <w:sz w:val="20"/>
              </w:rPr>
            </w:pPr>
            <w:r>
              <w:rPr>
                <w:rFonts w:ascii="Times New Roman" w:hAnsi="Times New Roman"/>
                <w:sz w:val="20"/>
              </w:rPr>
              <w:t>Lisa Rometty</w:t>
            </w:r>
          </w:p>
        </w:tc>
        <w:tc>
          <w:tcPr>
            <w:tcW w:w="120"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6"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pPr>
            <w:r>
              <w:rPr/>
              <w:t>August 8,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8" w:name="d66414dex51.htm"/>
      <w:bookmarkStart w:id="19" w:name="ksd66414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Josh Seidenfeld </w:t>
      </w:r>
    </w:p>
    <w:p>
      <w:pPr>
        <w:pStyle w:val="TextBody"/>
        <w:bidi w:val="0"/>
        <w:spacing w:before="0" w:after="0"/>
        <w:jc w:val="left"/>
        <w:rPr>
          <w:rFonts w:ascii="Times New Roman" w:hAnsi="Times New Roman"/>
          <w:sz w:val="20"/>
        </w:rPr>
      </w:pPr>
      <w:r>
        <w:rPr>
          <w:rFonts w:ascii="Times New Roman" w:hAnsi="Times New Roman"/>
          <w:sz w:val="20"/>
        </w:rPr>
        <w:t xml:space="preserve">+1 650 843 5862 </w:t>
      </w:r>
    </w:p>
    <w:p>
      <w:pPr>
        <w:pStyle w:val="TextBody"/>
        <w:bidi w:val="0"/>
        <w:spacing w:before="0" w:after="0"/>
        <w:jc w:val="left"/>
        <w:rPr>
          <w:rFonts w:ascii="Times New Roman" w:hAnsi="Times New Roman"/>
          <w:sz w:val="20"/>
        </w:rPr>
      </w:pPr>
      <w:r>
        <w:rPr>
          <w:rFonts w:ascii="Times New Roman" w:hAnsi="Times New Roman"/>
          <w:sz w:val="20"/>
        </w:rPr>
        <w:t xml:space="preserve">jseidenfeld@cooley.com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8, 2025 </w:t>
      </w:r>
    </w:p>
    <w:p>
      <w:pPr>
        <w:pStyle w:val="TextBody"/>
        <w:bidi w:val="0"/>
        <w:spacing w:before="240" w:after="0"/>
        <w:jc w:val="left"/>
        <w:rPr>
          <w:rFonts w:ascii="Times New Roman" w:hAnsi="Times New Roman"/>
          <w:sz w:val="20"/>
        </w:rPr>
      </w:pPr>
      <w:r>
        <w:rPr>
          <w:rFonts w:ascii="Times New Roman" w:hAnsi="Times New Roman"/>
          <w:sz w:val="20"/>
        </w:rPr>
        <w:t xml:space="preserve">Rani Therapeutics Holdings, Inc. </w:t>
      </w:r>
    </w:p>
    <w:p>
      <w:pPr>
        <w:pStyle w:val="TextBody"/>
        <w:bidi w:val="0"/>
        <w:spacing w:before="0" w:after="0"/>
        <w:jc w:val="left"/>
        <w:rPr>
          <w:rFonts w:ascii="Times New Roman" w:hAnsi="Times New Roman"/>
          <w:sz w:val="20"/>
        </w:rPr>
      </w:pPr>
      <w:r>
        <w:rPr>
          <w:rFonts w:ascii="Times New Roman" w:hAnsi="Times New Roman"/>
          <w:sz w:val="20"/>
        </w:rPr>
        <w:t xml:space="preserve">2051 Ringwood Avenue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95131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Rani Therapeutics Holdings, Inc., a Delaware corporation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a prospectus (the </w:t>
      </w:r>
      <w:r>
        <w:rPr>
          <w:rFonts w:ascii="Times New Roman" w:hAnsi="Times New Roman"/>
          <w:b/>
          <w:i/>
          <w:sz w:val="20"/>
        </w:rPr>
        <w:t>Base Prospectus</w:t>
      </w:r>
      <w:r>
        <w:rPr>
          <w:rFonts w:ascii="Times New Roman" w:hAnsi="Times New Roman"/>
          <w:sz w:val="20"/>
        </w:rPr>
        <w:t>) that provides that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shares of Class A common stock, par value $0.0001 per share, of the Company (the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par value $0.0001 per share, of the Company (the </w:t>
            </w:r>
            <w:r>
              <w:rPr>
                <w:rFonts w:ascii="Times New Roman" w:hAnsi="Times New Roman"/>
                <w:b/>
                <w:i/>
                <w:sz w:val="20"/>
              </w:rPr>
              <w:t>Preferred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in the form filed as Exhibit 4.4 to the Registration Statement and one or more indentures supplemental thereto with respect to any particular series of Debt Securities (the </w:t>
            </w:r>
            <w:r>
              <w:rPr>
                <w:rFonts w:ascii="Times New Roman" w:hAnsi="Times New Roman"/>
                <w:b/>
                <w:i/>
                <w:sz w:val="20"/>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Class A Common Stock, Preferred Stock, or Debt Securities (the </w:t>
            </w:r>
            <w:r>
              <w:rPr>
                <w:rFonts w:ascii="Times New Roman" w:hAnsi="Times New Roman"/>
                <w:b/>
                <w:i/>
                <w:sz w:val="20"/>
              </w:rPr>
              <w:t>Warrants</w:t>
            </w:r>
            <w:r>
              <w:rPr>
                <w:rFonts w:ascii="Times New Roman" w:hAnsi="Times New Roman"/>
                <w:sz w:val="20"/>
              </w:rPr>
              <w:t>), which may be issued under one or more warrant agreements, to be dated on or about the date of the first issuance of the Warrants thereunder, by and between a warrant agent to be selected by the Company (the </w:t>
            </w:r>
            <w:r>
              <w:rPr>
                <w:rFonts w:ascii="Times New Roman" w:hAnsi="Times New Roman"/>
                <w:b/>
                <w:i/>
                <w:sz w:val="20"/>
              </w:rPr>
              <w:t>Warrant Agent</w:t>
            </w:r>
            <w:r>
              <w:rPr>
                <w:rFonts w:ascii="Times New Roman" w:hAnsi="Times New Roman"/>
                <w:sz w:val="20"/>
              </w:rPr>
              <w:t>) and the Company, in the forms filed as Exhibits 4.6, 4.7 and 4.8, respectively, to the Registration Statement, respectively (each, a </w:t>
            </w:r>
            <w:r>
              <w:rPr>
                <w:rFonts w:ascii="Times New Roman" w:hAnsi="Times New Roman"/>
                <w:b/>
                <w:i/>
                <w:sz w:val="20"/>
              </w:rPr>
              <w:t>Warrant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Class A Common Stock, the Preferred Stock, the Debt Securities and the Warrants, plus any additional Class A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hAnsi="Times New Roman"/>
          <w:b/>
          <w:i/>
          <w:sz w:val="20"/>
        </w:rPr>
        <w:t>Securities</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8, 2025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Base Prospectus, (b) the Companys certificate of incorporation and bylaws, each as currently in effect, and (c) such other records, documents, certificates, opinions,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as to the Class A Common Stock, we have assumed that, at the time of issuance and sale, a sufficient number of shares of Class A Common Stock will be authorized and available for issuance and that the consideration for the issuance and sale of the Class A Common Stock (or Preferred Stock or Debt Securities convertible into, or Warrants exercisable for, Class A Common Stock) will be in an amount that is not less than the par value of the Class A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With respect to the Class A Common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Class A Common Stock has been duly authorized by all necessary corporate action on the part of the Company; (c) the issuance and sale of the Class A Common Stock do not violate any applicable law, are in conformity with the Companys then operative certificate of incorporation (the </w:t>
      </w:r>
      <w:r>
        <w:rPr>
          <w:rFonts w:ascii="Times New Roman" w:hAnsi="Times New Roman"/>
          <w:b/>
          <w:i/>
          <w:sz w:val="20"/>
        </w:rPr>
        <w:t>Certificate of Incorporation</w:t>
      </w:r>
      <w:r>
        <w:rPr>
          <w:rFonts w:ascii="Times New Roman" w:hAnsi="Times New Roman"/>
          <w:sz w:val="20"/>
        </w:rPr>
        <w:t>) and bylaws (the </w:t>
      </w:r>
      <w:r>
        <w:rPr>
          <w:rFonts w:ascii="Times New Roman" w:hAnsi="Times New Roman"/>
          <w:b/>
          <w:i/>
          <w:sz w:val="20"/>
        </w:rPr>
        <w:t>Bylaws</w:t>
      </w:r>
      <w:r>
        <w:rPr>
          <w:rFonts w:ascii="Times New Roman" w:hAnsi="Times New Roman"/>
          <w:sz w:val="20"/>
        </w:rPr>
        <w:t xml:space="preserve">), do not result in a default under or breach of any agreement or instrument binding upon the Company and comply with any applicable requirement or restriction imposed by any court or governmental body having jurisdiction over the Company; and (d) the certificates, if any, for the Class A Common Stock have been duly executed by the Company, countersigned by the transfer agent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8, 2025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duly delivered to the purchasers thereof against payment therefor, then the Class A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1"/>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8, 2025 </w:t>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2"/>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8, 2025 </w:t>
      </w:r>
    </w:p>
    <w:p>
      <w:pPr>
        <w:pStyle w:val="TextBody"/>
        <w:bidi w:val="0"/>
        <w:spacing w:before="0" w:after="0"/>
        <w:jc w:val="left"/>
        <w:rPr>
          <w:rFonts w:ascii="Times New Roman" w:hAnsi="Times New Roman"/>
          <w:sz w:val="20"/>
        </w:rPr>
      </w:pPr>
      <w:r>
        <w:rPr>
          <w:rFonts w:ascii="Times New Roman" w:hAnsi="Times New Roman"/>
          <w:sz w:val="20"/>
        </w:rPr>
        <w:t xml:space="preserve">Page Five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OOLEY</w:t>
            </w:r>
            <w:r>
              <w:rPr>
                <w:b/>
              </w:rPr>
              <w:t xml:space="preserve"> LLP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 Seidenfeld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Josh Seidenfeld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p>
    <w:p>
      <w:pPr>
        <w:pStyle w:val="TextBody"/>
        <w:bidi w:val="0"/>
        <w:spacing w:before="0" w:after="0"/>
        <w:jc w:val="right"/>
        <w:rPr>
          <w:rFonts w:ascii="Times New Roman" w:hAnsi="Times New Roman"/>
          <w:b/>
          <w:sz w:val="20"/>
        </w:rPr>
      </w:pPr>
      <w:bookmarkStart w:id="20" w:name="d66414dex231.htm"/>
      <w:bookmarkStart w:id="21" w:name="ksd66414dex231"/>
      <w:bookmarkEnd w:id="20"/>
      <w:bookmarkEnd w:id="21"/>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31, 2025, with respect to the financial statements of Rani Therapeutics Holdings, Inc. for the year ended December 31, 2024 included in the Annual Report on Form 10-K.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 </w:t>
      </w:r>
    </w:p>
    <w:p>
      <w:pPr>
        <w:pStyle w:val="TextBody"/>
        <w:bidi w:val="0"/>
        <w:spacing w:before="0" w:after="0"/>
        <w:jc w:val="left"/>
        <w:rPr>
          <w:rFonts w:ascii="Times New Roman" w:hAnsi="Times New Roman"/>
          <w:sz w:val="20"/>
        </w:rPr>
      </w:pPr>
      <w:r>
        <w:rPr>
          <w:rFonts w:ascii="Times New Roman" w:hAnsi="Times New Roman"/>
          <w:sz w:val="20"/>
        </w:rPr>
        <w:t xml:space="preserve">August 8, 2025 </w:t>
      </w:r>
    </w:p>
    <w:p>
      <w:pPr>
        <w:pStyle w:val="TextBody"/>
        <w:bidi w:val="0"/>
        <w:spacing w:before="0" w:after="0"/>
        <w:jc w:val="right"/>
        <w:rPr>
          <w:rFonts w:ascii="Times New Roman" w:hAnsi="Times New Roman"/>
          <w:b/>
          <w:sz w:val="20"/>
        </w:rPr>
      </w:pPr>
      <w:bookmarkStart w:id="22" w:name="d66414dex232.htm"/>
      <w:bookmarkStart w:id="23" w:name="ksd66414dex232"/>
      <w:bookmarkEnd w:id="22"/>
      <w:bookmarkEnd w:id="23"/>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ERNST &amp; YOUNG LLP,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Rani Therapeutics Holdings, Inc. for the registration of up to $200,000,000 in aggregate of Class A Common Stock, preferred stock, debt securities and warrants and to the incorporation by reference therein of our report dated March 20, 2024, with respect to the consolidated financial statements of Rani Therapeutics Holdings, Inc. included in its Annual Report (Form 10-K) for the year ended December 31, 2024,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8, 2025 </w:t>
      </w:r>
    </w:p>
    <w:p>
      <w:pPr>
        <w:pStyle w:val="Normal"/>
        <w:bidi w:val="0"/>
        <w:spacing w:before="0" w:after="0"/>
        <w:jc w:val="left"/>
        <w:rPr>
          <w:sz w:val="4"/>
          <w:szCs w:val="4"/>
        </w:rPr>
      </w:pPr>
      <w:r>
        <w:rPr>
          <w:sz w:val="4"/>
          <w:szCs w:val="4"/>
        </w:rPr>
      </w:r>
      <w:bookmarkStart w:id="24" w:name="d66414dexfilingfees.htm"/>
      <w:bookmarkStart w:id="25" w:name="ksd66414dexfilingfees"/>
      <w:bookmarkStart w:id="26" w:name="d66414dexfilingfees.htm"/>
      <w:bookmarkStart w:id="27" w:name="ksd66414dexfilingfees"/>
      <w:bookmarkEnd w:id="26"/>
      <w:bookmarkEnd w:id="27"/>
      <w:r>
        <w:br w:type="page"/>
      </w:r>
    </w:p>
    <w:tbl>
      <w:tblPr>
        <w:tblW w:w="3695" w:type="dxa"/>
        <w:jc w:val="left"/>
        <w:tblInd w:w="0" w:type="dxa"/>
        <w:tblLayout w:type="fixed"/>
        <w:tblCellMar>
          <w:top w:w="28" w:type="dxa"/>
          <w:left w:w="28" w:type="dxa"/>
          <w:bottom w:w="28" w:type="dxa"/>
          <w:right w:w="28" w:type="dxa"/>
        </w:tblCellMar>
      </w:tblPr>
      <w:tblGrid>
        <w:gridCol w:w="3541"/>
        <w:gridCol w:w="154"/>
      </w:tblGrid>
      <w:tr>
        <w:trPr/>
        <w:tc>
          <w:tcPr>
            <w:tcW w:w="36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b/>
              </w:rPr>
            </w:pPr>
            <w:r>
              <w:rPr>
                <w:b/>
              </w:rPr>
              <w:t xml:space="preserve">Rani Therapeutics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51" w:type="dxa"/>
            <w:tcBorders/>
            <w:shd w:fill="E7E7E2" w:val="clear"/>
            <w:vAlign w:val="center"/>
          </w:tcPr>
          <w:p>
            <w:pPr>
              <w:pStyle w:val="TableContents"/>
              <w:bidi w:val="0"/>
              <w:spacing w:before="0" w:after="283"/>
              <w:jc w:val="right"/>
              <w:rPr/>
            </w:pPr>
            <w:r>
              <w:rPr/>
              <w:t xml:space="preserve">$ 459.30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333-266444 </w:t>
            </w:r>
          </w:p>
        </w:tc>
        <w:tc>
          <w:tcPr>
            <w:tcW w:w="1021" w:type="dxa"/>
            <w:tcBorders/>
            <w:shd w:fill="E7E7E2" w:val="clear"/>
            <w:vAlign w:val="center"/>
          </w:tcPr>
          <w:p>
            <w:pPr>
              <w:pStyle w:val="TableContents"/>
              <w:bidi w:val="0"/>
              <w:spacing w:before="0" w:after="283"/>
              <w:jc w:val="center"/>
              <w:rPr/>
            </w:pPr>
            <w:r>
              <w:rPr/>
              <w:t xml:space="preserve">08/10/2022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333-266444 </w:t>
            </w:r>
          </w:p>
        </w:tc>
        <w:tc>
          <w:tcPr>
            <w:tcW w:w="1021" w:type="dxa"/>
            <w:tcBorders/>
            <w:shd w:fill="E7E7E2" w:val="clear"/>
            <w:vAlign w:val="center"/>
          </w:tcPr>
          <w:p>
            <w:pPr>
              <w:pStyle w:val="TableContents"/>
              <w:bidi w:val="0"/>
              <w:spacing w:before="0" w:after="283"/>
              <w:jc w:val="center"/>
              <w:rPr/>
            </w:pPr>
            <w:r>
              <w:rPr/>
              <w:t xml:space="preserve">08/10/2022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333-266444 </w:t>
            </w:r>
          </w:p>
        </w:tc>
        <w:tc>
          <w:tcPr>
            <w:tcW w:w="1021" w:type="dxa"/>
            <w:tcBorders/>
            <w:shd w:fill="E7E7E2" w:val="clear"/>
            <w:vAlign w:val="center"/>
          </w:tcPr>
          <w:p>
            <w:pPr>
              <w:pStyle w:val="TableContents"/>
              <w:bidi w:val="0"/>
              <w:spacing w:before="0" w:after="283"/>
              <w:jc w:val="center"/>
              <w:rPr/>
            </w:pPr>
            <w:r>
              <w:rPr/>
              <w:t xml:space="preserve">08/10/2022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333-266444 </w:t>
            </w:r>
          </w:p>
        </w:tc>
        <w:tc>
          <w:tcPr>
            <w:tcW w:w="1021" w:type="dxa"/>
            <w:tcBorders/>
            <w:shd w:fill="E7E7E2" w:val="clear"/>
            <w:vAlign w:val="center"/>
          </w:tcPr>
          <w:p>
            <w:pPr>
              <w:pStyle w:val="TableContents"/>
              <w:bidi w:val="0"/>
              <w:spacing w:before="0" w:after="283"/>
              <w:jc w:val="center"/>
              <w:rPr/>
            </w:pPr>
            <w:r>
              <w:rPr/>
              <w:t xml:space="preserve">08/10/2022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$ 197,000,000.00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333-266444 </w:t>
            </w:r>
          </w:p>
        </w:tc>
        <w:tc>
          <w:tcPr>
            <w:tcW w:w="1021" w:type="dxa"/>
            <w:tcBorders/>
            <w:shd w:fill="E7E7E2" w:val="clear"/>
            <w:vAlign w:val="center"/>
          </w:tcPr>
          <w:p>
            <w:pPr>
              <w:pStyle w:val="TableContents"/>
              <w:bidi w:val="0"/>
              <w:spacing w:before="0" w:after="283"/>
              <w:jc w:val="center"/>
              <w:rPr/>
            </w:pPr>
            <w:r>
              <w:rPr/>
              <w:t xml:space="preserve">08/10/2022 </w:t>
            </w:r>
          </w:p>
        </w:tc>
        <w:tc>
          <w:tcPr>
            <w:tcW w:w="1321" w:type="dxa"/>
            <w:tcBorders/>
            <w:shd w:fill="E7E7E2" w:val="clear"/>
            <w:vAlign w:val="center"/>
          </w:tcPr>
          <w:p>
            <w:pPr>
              <w:pStyle w:val="TableContents"/>
              <w:bidi w:val="0"/>
              <w:spacing w:before="0" w:after="283"/>
              <w:jc w:val="right"/>
              <w:rPr/>
            </w:pPr>
            <w:r>
              <w:rPr/>
              <w:t xml:space="preserve">$ 18,261.00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8" w:name="MaxAggtOfferingPrice"/>
            <w:bookmarkEnd w:id="28"/>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$ 459.30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$ 459.30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Separate consideration may or may not be received for securities that are issuable upon the conversion or exercise of, or in exchange for, other securities offered hereby. (2) 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shall have an aggregate initial offering price not to exceed $200,000,000. If any debt securities are issued at an original issue discount, then the principal amount of such debt securities shall be in such greater amount as shall result in an aggregate initial offering price not to exceed $200,000,000, less the aggregate dollar amount of all securities previously issued hereunder. The securities registered also include such indeterminate number of shares of common stock,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(3) 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Pursuant to Rule 415(a)(6) of the Securities Act, the securities being registered hereunder include $197,000,000 of unsold securities previously registered by the registrant's Registration Statement on Form S-3 (File No. 333-266444) (the "Prior Registration Statement"), which was declared effective on August 10, 2022. The Prior Registration Statement registered the offer and sale of securities having an aggregate initial offering price of $400,000,000, a portion of which remain unsold as of the date of filing of this Registration Statement. The Registrant has determined to include in this Registration Statement unsold securities under the Prior Registration Statement with an aggregate offering price of $197,000,00.The filing fee paid in connection with such Prior Registration Statement was $37,080, and a portion of that fee related to unsold securities in the amount of $18,261 will continue to apply to such unsold securities registered hereby.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56725/000095017025047740/rani-20241231.htm" TargetMode="External"/><Relationship Id="rId4" Type="http://schemas.openxmlformats.org/officeDocument/2006/relationships/hyperlink" Target="http://www.sec.gov/Archives/edgar/data/../../../ix?doc=/Archives/edgar/data/1856725/000095017025070382/rani-20250331.htm" TargetMode="External"/><Relationship Id="rId5" Type="http://schemas.openxmlformats.org/officeDocument/2006/relationships/hyperlink" Target="http://www.sec.gov/Archives/edgar/data/../../../ix?doc=/Archives/edgar/data/1856725/000095017025105045/rani-20250630.htm" TargetMode="External"/><Relationship Id="rId6" Type="http://schemas.openxmlformats.org/officeDocument/2006/relationships/hyperlink" Target="http://www.sec.gov/Archives/edgar/data/../../../ix?doc=/Archives/edgar/data/1856725/000114036125014078/ny20044394x1_def14a.htm" TargetMode="External"/><Relationship Id="rId7" Type="http://schemas.openxmlformats.org/officeDocument/2006/relationships/hyperlink" Target="http://www.sec.gov/Archives/edgar/data/../../../ix?doc=/Archives/edgar/data/1856725/000095017025052527/rani-20250407.htm" TargetMode="External"/><Relationship Id="rId8" Type="http://schemas.openxmlformats.org/officeDocument/2006/relationships/hyperlink" Target="http://www.sec.gov/Archives/edgar/data/../../../ix?doc=/Archives/edgar/data/1856725/000095017025060586/rani-20250424.htm" TargetMode="External"/><Relationship Id="rId9" Type="http://schemas.openxmlformats.org/officeDocument/2006/relationships/hyperlink" Target="http://www.sec.gov/Archives/edgar/data/../../../ix?doc=/Archives/edgar/data/1856725/000095017025064624/rani-20250501.htm" TargetMode="External"/><Relationship Id="rId10" Type="http://schemas.openxmlformats.org/officeDocument/2006/relationships/hyperlink" Target="http://www.sec.gov/Archives/edgar/data/../../../ix?doc=/Archives/edgar/data/1856725/000119312525122872/d945177d8k.htm" TargetMode="External"/><Relationship Id="rId11" Type="http://schemas.openxmlformats.org/officeDocument/2006/relationships/hyperlink" Target="http://www.sec.gov/Archives/edgar/data/../../../ix?doc=/Archives/edgar/data/1856725/000095017025078949/rani-20250528.htm" TargetMode="External"/><Relationship Id="rId12" Type="http://schemas.openxmlformats.org/officeDocument/2006/relationships/hyperlink" Target="http://www.sec.gov/Archives/edgar/data/../../../ix?doc=/Archives/edgar/data/1856725/000095017025090384/rani-20250620.htm" TargetMode="External"/><Relationship Id="rId13" Type="http://schemas.openxmlformats.org/officeDocument/2006/relationships/hyperlink" Target="http://www.sec.gov/Archives/edgar/data/../../../ix?doc=/Archives/edgar/data/1856725/000119312525159793/d917538d8k.htm" TargetMode="External"/><Relationship Id="rId14" Type="http://schemas.openxmlformats.org/officeDocument/2006/relationships/hyperlink" Target="http://www.sec.gov/Archives/edgar/data/1856725/000095017022005088/rani-ex4_2.htm" TargetMode="External"/><Relationship Id="rId15" Type="http://schemas.openxmlformats.org/officeDocument/2006/relationships/hyperlink" Target="http://www.sec.gov/Archives/edgar/data/1856725/000119312521223596/d151628dex31.htm" TargetMode="External"/><Relationship Id="rId16" Type="http://schemas.openxmlformats.org/officeDocument/2006/relationships/hyperlink" Target="http://www.sec.gov/Archives/edgar/data/1856725/000119312521211922/d151628dex34.htm" TargetMode="External"/><Relationship Id="rId17" Type="http://schemas.openxmlformats.org/officeDocument/2006/relationships/hyperlink" Target="http://www.sec.gov/Archives/edgar/data/1856725/000119312521223596/d151628dex31.htm" TargetMode="External"/><Relationship Id="rId18" Type="http://schemas.openxmlformats.org/officeDocument/2006/relationships/hyperlink" Target="http://www.sec.gov/Archives/edgar/data/1856725/000119312521211922/d151628dex34.htm" TargetMode="External"/><Relationship Id="rId19" Type="http://schemas.openxmlformats.org/officeDocument/2006/relationships/hyperlink" Target="http://www.sec.gov/Archives/edgar/data/1856725/000119312521223596/d151628dex41.htm" TargetMode="External"/><Relationship Id="rId20" Type="http://schemas.openxmlformats.org/officeDocument/2006/relationships/hyperlink" Target="http://www.sec.gov/Archives/edgar/data/1856725/000119312522208779/d325463dex44.htm" TargetMode="External"/><Relationship Id="rId21" Type="http://schemas.openxmlformats.org/officeDocument/2006/relationships/hyperlink" Target="http://www.sec.gov/Archives/edgar/data/1856725/000119312522208779/d325463dex46.htm" TargetMode="External"/><Relationship Id="rId22" Type="http://schemas.openxmlformats.org/officeDocument/2006/relationships/hyperlink" Target="http://www.sec.gov/Archives/edgar/data/1856725/000119312522208779/d325463dex47.htm" TargetMode="External"/><Relationship Id="rId23" Type="http://schemas.openxmlformats.org/officeDocument/2006/relationships/hyperlink" Target="http://www.sec.gov/Archives/edgar/data/1856725/000119312522208779/d325463dex48.htm" TargetMode="External"/><Relationship Id="rId24" Type="http://schemas.openxmlformats.org/officeDocument/2006/relationships/hyperlink" Target="http://www.sec.gov/Archives/edgar/data/1856725/000095017022005088/rani-ex10_1.htm" TargetMode="External"/><Relationship Id="rId25" Type="http://schemas.openxmlformats.org/officeDocument/2006/relationships/hyperlink" Target="http://www.sec.gov/Archives/edgar/data/1856725/000095017022005088/rani-ex10_2.htm" TargetMode="External"/><Relationship Id="rId26" Type="http://schemas.openxmlformats.org/officeDocument/2006/relationships/hyperlink" Target="http://www.sec.gov/Archives/edgar/data/1856725/000095017022005088/rani-ex10_3.htm" TargetMode="External"/><Relationship Id="rId27" Type="http://schemas.openxmlformats.org/officeDocument/2006/relationships/hyperlink" Target="http://www.sec.gov/Archives/edgar/data/1856725/000095017022005088/rani-ex10_4.htm" TargetMode="External"/><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26148</Words>
  <Characters>134794</Characters>
  <CharactersWithSpaces>161354</CharactersWithSpaces>
  <Paragraphs>2140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