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5158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158105"/>
                    </a:xfrm>
                    <a:prstGeom prst="rect">
                      <a:avLst/>
                    </a:prstGeom>
                    <a:noFill/>
                  </pic:spPr>
                </pic:pic>
              </a:graphicData>
            </a:graphic>
          </wp:anchor>
        </w:drawing>
      </w:r>
    </w:p>
    <w:p>
      <w:pPr>
        <w:spacing w:after="0" w:line="46"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gridSpan w:val="4"/>
            <w:vMerge w:val="restart"/>
          </w:tcPr>
          <w:p>
            <w:pPr>
              <w:ind w:left="20"/>
              <w:spacing w:after="0"/>
              <w:rPr>
                <w:rFonts w:ascii="Times New Roman" w:cs="Times New Roman" w:eastAsia="Times New Roman" w:hAnsi="Times New Roman"/>
                <w:sz w:val="21"/>
                <w:szCs w:val="21"/>
                <w:color w:val="0000EE"/>
                <w:w w:val="96"/>
              </w:rPr>
            </w:pPr>
            <w:hyperlink r:id="rId12">
              <w:r>
                <w:rPr>
                  <w:rFonts w:ascii="Times New Roman" w:cs="Times New Roman" w:eastAsia="Times New Roman" w:hAnsi="Times New Roman"/>
                  <w:sz w:val="21"/>
                  <w:szCs w:val="21"/>
                  <w:color w:val="0000EE"/>
                  <w:w w:val="96"/>
                </w:rPr>
                <w:t>IMRAN MIR A</w:t>
              </w:r>
            </w:hyperlink>
          </w:p>
        </w:tc>
        <w:tc>
          <w:tcPr>
            <w:tcW w:w="1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560" w:type="dxa"/>
            <w:vAlign w:val="bottom"/>
            <w:gridSpan w:val="7"/>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Rani Therapeutics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RANI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20" w:type="dxa"/>
            <w:vAlign w:val="bottom"/>
          </w:tcPr>
          <w:p>
            <w:pPr>
              <w:spacing w:after="0"/>
              <w:rPr>
                <w:sz w:val="8"/>
                <w:szCs w:val="8"/>
                <w:color w:val="auto"/>
              </w:rPr>
            </w:pPr>
          </w:p>
        </w:tc>
        <w:tc>
          <w:tcPr>
            <w:tcW w:w="160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4"/>
            <w:vMerge w:val="continue"/>
          </w:tcPr>
          <w:p>
            <w:pPr>
              <w:spacing w:after="0"/>
              <w:rPr>
                <w:sz w:val="4"/>
                <w:szCs w:val="4"/>
                <w:color w:val="auto"/>
              </w:rPr>
            </w:pPr>
          </w:p>
        </w:tc>
        <w:tc>
          <w:tcPr>
            <w:tcW w:w="1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gridSpan w:val="4"/>
            <w:vMerge w:val="continue"/>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9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gridSpan w:val="5"/>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4"/>
            <w:vMerge w:val="continue"/>
          </w:tcPr>
          <w:p>
            <w:pPr>
              <w:spacing w:after="0"/>
              <w:rPr>
                <w:sz w:val="4"/>
                <w:szCs w:val="4"/>
                <w:color w:val="auto"/>
              </w:rPr>
            </w:pPr>
          </w:p>
        </w:tc>
        <w:tc>
          <w:tcPr>
            <w:tcW w:w="1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1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480" w:type="dxa"/>
            <w:vAlign w:val="bottom"/>
            <w:gridSpan w:val="5"/>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9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4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080" w:type="dxa"/>
            <w:vAlign w:val="bottom"/>
          </w:tcPr>
          <w:p>
            <w:pPr>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20" w:type="dxa"/>
            <w:vAlign w:val="bottom"/>
            <w:gridSpan w:val="6"/>
            <w:vMerge w:val="continue"/>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RANI THERAPEUTICS LLC</w:t>
            </w:r>
          </w:p>
        </w:tc>
        <w:tc>
          <w:tcPr>
            <w:tcW w:w="1080" w:type="dxa"/>
            <w:vAlign w:val="bottom"/>
          </w:tcPr>
          <w:p>
            <w:pPr>
              <w:spacing w:after="0"/>
              <w:rPr>
                <w:sz w:val="18"/>
                <w:szCs w:val="18"/>
                <w:color w:val="auto"/>
              </w:rPr>
            </w:pPr>
          </w:p>
        </w:tc>
        <w:tc>
          <w:tcPr>
            <w:tcW w:w="168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08/23/2022</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5"/>
            <w:vMerge w:val="continue"/>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2051 RINGWOOD AVE.</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5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560" w:type="dxa"/>
            <w:vAlign w:val="bottom"/>
            <w:gridSpan w:val="7"/>
            <w:vMerge w:val="continue"/>
          </w:tcPr>
          <w:p>
            <w:pPr>
              <w:spacing w:after="0"/>
              <w:rPr>
                <w:sz w:val="6"/>
                <w:szCs w:val="6"/>
                <w:color w:val="auto"/>
              </w:rPr>
            </w:pPr>
          </w:p>
        </w:tc>
        <w:tc>
          <w:tcPr>
            <w:tcW w:w="220" w:type="dxa"/>
            <w:vAlign w:val="bottom"/>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8"/>
          </w:tcPr>
          <w:p>
            <w:pPr>
              <w:ind w:left="26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95131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ind w:left="180"/>
              <w:spacing w:after="0" w:line="141"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080" w:type="dxa"/>
            <w:vAlign w:val="bottom"/>
          </w:tcPr>
          <w:p>
            <w:pPr>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1280" w:type="dxa"/>
            <w:vAlign w:val="bottom"/>
            <w:tcBorders>
              <w:bottom w:val="single" w:sz="8" w:color="2C2C2C"/>
            </w:tcBorders>
            <w:gridSpan w:val="2"/>
          </w:tcPr>
          <w:p>
            <w:pPr>
              <w:spacing w:after="0"/>
              <w:rPr>
                <w:sz w:val="10"/>
                <w:szCs w:val="10"/>
                <w:color w:val="auto"/>
              </w:rPr>
            </w:pPr>
          </w:p>
        </w:tc>
        <w:tc>
          <w:tcPr>
            <w:tcW w:w="104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17"/>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40" w:type="dxa"/>
            <w:vAlign w:val="bottom"/>
            <w:tcBorders>
              <w:bottom w:val="single" w:sz="8" w:color="2C2C2C"/>
            </w:tcBorders>
            <w:gridSpan w:val="4"/>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6"/>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80" w:type="dxa"/>
            <w:vAlign w:val="bottom"/>
            <w:gridSpan w:val="5"/>
          </w:tcPr>
          <w:p>
            <w:pPr>
              <w:ind w:left="70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40" w:type="dxa"/>
            <w:vAlign w:val="bottom"/>
            <w:vMerge w:val="restart"/>
          </w:tcPr>
          <w:p>
            <w:pPr>
              <w:jc w:val="center"/>
              <w:ind w:right="17"/>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4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80" w:type="dxa"/>
            <w:vAlign w:val="bottom"/>
            <w:gridSpan w:val="5"/>
            <w:vMerge w:val="restart"/>
          </w:tcPr>
          <w:p>
            <w:pPr>
              <w:ind w:left="800"/>
              <w:spacing w:after="0"/>
              <w:rPr>
                <w:sz w:val="20"/>
                <w:szCs w:val="20"/>
                <w:color w:val="auto"/>
              </w:rPr>
            </w:pPr>
            <w:r>
              <w:rPr>
                <w:rFonts w:ascii="Times New Roman" w:cs="Times New Roman" w:eastAsia="Times New Roman" w:hAnsi="Times New Roman"/>
                <w:sz w:val="17"/>
                <w:szCs w:val="17"/>
                <w:color w:val="0000FF"/>
              </w:rPr>
              <w:t>08/23/2022</w:t>
            </w: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(1)</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7,694</w:t>
            </w:r>
            <w:r>
              <w:rPr>
                <w:rFonts w:ascii="Times New Roman" w:cs="Times New Roman" w:eastAsia="Times New Roman" w:hAnsi="Times New Roman"/>
                <w:sz w:val="21"/>
                <w:szCs w:val="21"/>
                <w:color w:val="008000"/>
                <w:vertAlign w:val="superscript"/>
              </w:rPr>
              <w:t>(2)</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gridSpan w:val="2"/>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60" w:type="dxa"/>
            <w:vAlign w:val="bottom"/>
          </w:tcPr>
          <w:p>
            <w:pPr>
              <w:spacing w:after="0"/>
              <w:rPr>
                <w:sz w:val="21"/>
                <w:szCs w:val="21"/>
                <w:color w:val="auto"/>
              </w:rPr>
            </w:pPr>
          </w:p>
        </w:tc>
        <w:tc>
          <w:tcPr>
            <w:tcW w:w="1240" w:type="dxa"/>
            <w:vAlign w:val="bottom"/>
            <w:gridSpan w:val="3"/>
            <w:vMerge w:val="restart"/>
          </w:tcPr>
          <w:p>
            <w:pPr>
              <w:jc w:val="right"/>
              <w:ind w:right="202"/>
              <w:spacing w:after="0"/>
              <w:rPr>
                <w:sz w:val="20"/>
                <w:szCs w:val="20"/>
                <w:color w:val="auto"/>
              </w:rPr>
            </w:pPr>
            <w:r>
              <w:rPr>
                <w:rFonts w:ascii="Times New Roman" w:cs="Times New Roman" w:eastAsia="Times New Roman" w:hAnsi="Times New Roman"/>
                <w:sz w:val="17"/>
                <w:szCs w:val="17"/>
                <w:color w:val="0000FF"/>
              </w:rPr>
              <w:t>22,660,053</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6"/>
            <w:vMerge w:val="continue"/>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4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5"/>
            <w:vMerge w:val="restart"/>
          </w:tcPr>
          <w:p>
            <w:pPr>
              <w:ind w:left="800"/>
              <w:spacing w:after="0"/>
              <w:rPr>
                <w:sz w:val="20"/>
                <w:szCs w:val="20"/>
                <w:color w:val="auto"/>
              </w:rPr>
            </w:pPr>
            <w:r>
              <w:rPr>
                <w:rFonts w:ascii="Times New Roman" w:cs="Times New Roman" w:eastAsia="Times New Roman" w:hAnsi="Times New Roman"/>
                <w:sz w:val="17"/>
                <w:szCs w:val="17"/>
                <w:color w:val="0000FF"/>
              </w:rPr>
              <w:t>08/23/2022</w:t>
            </w: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(1)</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0000FF"/>
              </w:rPr>
              <w:t>7,694</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gridSpan w:val="2"/>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60" w:type="dxa"/>
            <w:vAlign w:val="bottom"/>
          </w:tcPr>
          <w:p>
            <w:pPr>
              <w:spacing w:after="0"/>
              <w:rPr>
                <w:sz w:val="21"/>
                <w:szCs w:val="21"/>
                <w:color w:val="auto"/>
              </w:rPr>
            </w:pPr>
          </w:p>
        </w:tc>
        <w:tc>
          <w:tcPr>
            <w:tcW w:w="1240" w:type="dxa"/>
            <w:vAlign w:val="bottom"/>
            <w:gridSpan w:val="3"/>
            <w:vMerge w:val="restart"/>
          </w:tcPr>
          <w:p>
            <w:pPr>
              <w:jc w:val="right"/>
              <w:ind w:right="342"/>
              <w:spacing w:after="0"/>
              <w:rPr>
                <w:sz w:val="20"/>
                <w:szCs w:val="20"/>
                <w:color w:val="auto"/>
              </w:rPr>
            </w:pPr>
            <w:r>
              <w:rPr>
                <w:rFonts w:ascii="Times New Roman" w:cs="Times New Roman" w:eastAsia="Times New Roman" w:hAnsi="Times New Roman"/>
                <w:sz w:val="17"/>
                <w:szCs w:val="17"/>
                <w:color w:val="0000FF"/>
              </w:rPr>
              <w:t>74,139</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40" w:type="dxa"/>
            <w:vAlign w:val="bottom"/>
            <w:gridSpan w:val="6"/>
            <w:vMerge w:val="continue"/>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80" w:type="dxa"/>
            <w:vAlign w:val="bottom"/>
            <w:gridSpan w:val="17"/>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80" w:type="dxa"/>
            <w:vAlign w:val="bottom"/>
            <w:gridSpan w:val="14"/>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6"/>
              </w:rPr>
              <w:t>Conversion</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16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   Derivative</w:t>
            </w:r>
          </w:p>
        </w:tc>
        <w:tc>
          <w:tcPr>
            <w:tcW w:w="15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8"/>
              </w:rPr>
              <w:t>or Exercise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gridSpan w:val="4"/>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(1)</w:t>
            </w:r>
          </w:p>
        </w:tc>
        <w:tc>
          <w:tcPr>
            <w:tcW w:w="98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7,694</w:t>
            </w:r>
            <w:r>
              <w:rPr>
                <w:rFonts w:ascii="Times New Roman" w:cs="Times New Roman" w:eastAsia="Times New Roman" w:hAnsi="Times New Roman"/>
                <w:sz w:val="21"/>
                <w:szCs w:val="21"/>
                <w:color w:val="008000"/>
                <w:vertAlign w:val="superscript"/>
              </w:rPr>
              <w:t>(5)</w:t>
            </w:r>
          </w:p>
        </w:tc>
        <w:tc>
          <w:tcPr>
            <w:tcW w:w="800" w:type="dxa"/>
            <w:vAlign w:val="bottom"/>
            <w:gridSpan w:val="2"/>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(1)</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7,694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3"/>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0" w:type="dxa"/>
            <w:vAlign w:val="bottom"/>
          </w:tcPr>
          <w:p>
            <w:pPr>
              <w:spacing w:after="0"/>
              <w:rPr>
                <w:sz w:val="4"/>
                <w:szCs w:val="4"/>
                <w:color w:val="auto"/>
              </w:rPr>
            </w:pPr>
          </w:p>
        </w:tc>
        <w:tc>
          <w:tcPr>
            <w:tcW w:w="1120" w:type="dxa"/>
            <w:vAlign w:val="bottom"/>
            <w:vMerge w:val="restart"/>
          </w:tcPr>
          <w:p>
            <w:pPr>
              <w:ind w:left="280"/>
              <w:spacing w:after="0" w:line="141" w:lineRule="exact"/>
              <w:rPr>
                <w:sz w:val="20"/>
                <w:szCs w:val="20"/>
                <w:color w:val="auto"/>
              </w:rPr>
            </w:pPr>
            <w:r>
              <w:rPr>
                <w:rFonts w:ascii="Times New Roman" w:cs="Times New Roman" w:eastAsia="Times New Roman" w:hAnsi="Times New Roman"/>
                <w:sz w:val="13"/>
                <w:szCs w:val="13"/>
                <w:color w:val="0000FF"/>
              </w:rPr>
              <w:t>08/23/2022</w:t>
            </w:r>
          </w:p>
        </w:tc>
        <w:tc>
          <w:tcPr>
            <w:tcW w:w="1080" w:type="dxa"/>
            <w:vAlign w:val="bottom"/>
          </w:tcPr>
          <w:p>
            <w:pPr>
              <w:spacing w:after="0"/>
              <w:rPr>
                <w:sz w:val="4"/>
                <w:szCs w:val="4"/>
                <w:color w:val="auto"/>
              </w:rPr>
            </w:pPr>
          </w:p>
        </w:tc>
        <w:tc>
          <w:tcPr>
            <w:tcW w:w="700" w:type="dxa"/>
            <w:vAlign w:val="bottom"/>
            <w:gridSpan w:val="4"/>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22,660,053</w:t>
            </w:r>
          </w:p>
        </w:tc>
        <w:tc>
          <w:tcPr>
            <w:tcW w:w="60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16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700" w:type="dxa"/>
            <w:vAlign w:val="bottom"/>
            <w:gridSpan w:val="4"/>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ind w:left="460"/>
              <w:spacing w:after="0" w:line="95" w:lineRule="exact"/>
              <w:rPr>
                <w:sz w:val="20"/>
                <w:szCs w:val="20"/>
                <w:color w:val="auto"/>
              </w:rPr>
            </w:pPr>
            <w:r>
              <w:rPr>
                <w:rFonts w:ascii="Times New Roman" w:cs="Times New Roman" w:eastAsia="Times New Roman" w:hAnsi="Times New Roman"/>
                <w:sz w:val="10"/>
                <w:szCs w:val="10"/>
                <w:color w:val="008000"/>
              </w:rPr>
              <w:t>(6)</w:t>
            </w: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LLC Units</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4"/>
              </w:rPr>
              <w:t>Stock</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-1840230</wp:posOffset>
            </wp:positionV>
            <wp:extent cx="29210" cy="1845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8453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20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Fifth Amended and Restated LLC Agreement between Rani Therapeutics, LLC, a direct subsidiary of the Issuer, and the holders of its Common LLC Units ("LLC Units"), Rani Investment Corp. elected to exchange on a one-for-one basis the LLC Units and redeem the corresponding number of shares of Class B Common Stock of the Issuer ("Class B Shares") for newly-issued shares of Class A Common Stock of the Issuer ("Class A Shares").</w:t>
      </w:r>
    </w:p>
    <w:p>
      <w:pPr>
        <w:spacing w:after="0" w:line="27" w:lineRule="exact"/>
        <w:rPr>
          <w:rFonts w:ascii="Times New Roman" w:cs="Times New Roman" w:eastAsia="Times New Roman" w:hAnsi="Times New Roman"/>
          <w:sz w:val="13"/>
          <w:szCs w:val="13"/>
          <w:color w:val="008000"/>
        </w:rPr>
      </w:pPr>
    </w:p>
    <w:p>
      <w:pPr>
        <w:ind w:left="40" w:right="26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General Partner of Rani Investment Corp. Represents 7,694 Class B Shares previously held by Rani Investment Corp. The Reporting Person disclaims beneficial ownership of these securities except to the extent of his pecuniary interest therein.</w:t>
      </w:r>
    </w:p>
    <w:p>
      <w:pPr>
        <w:spacing w:after="0" w:line="17" w:lineRule="exact"/>
        <w:rPr>
          <w:rFonts w:ascii="Times New Roman" w:cs="Times New Roman" w:eastAsia="Times New Roman" w:hAnsi="Times New Roman"/>
          <w:sz w:val="13"/>
          <w:szCs w:val="13"/>
          <w:color w:val="008000"/>
        </w:rPr>
      </w:pPr>
    </w:p>
    <w:p>
      <w:pPr>
        <w:ind w:left="40" w:right="28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General Partner of InCube Ventures II, L.P., and InCube Labs, LLC is wholly-owned by the Reporting Person and his family. Represents 22,411,124 Class B Shares held by InCube Labs, LLC and 248,929 Class B Shares held by InCube Ventures II, L.P. The Reporting Person disclaims beneficial ownership of these securities except to the extent of his pecuniary interest therein.</w:t>
      </w:r>
    </w:p>
    <w:p>
      <w:pPr>
        <w:spacing w:after="0" w:line="17" w:lineRule="exact"/>
        <w:rPr>
          <w:rFonts w:ascii="Times New Roman" w:cs="Times New Roman" w:eastAsia="Times New Roman" w:hAnsi="Times New Roman"/>
          <w:sz w:val="13"/>
          <w:szCs w:val="13"/>
          <w:color w:val="008000"/>
        </w:rPr>
      </w:pPr>
    </w:p>
    <w:p>
      <w:pPr>
        <w:jc w:val="both"/>
        <w:ind w:left="40" w:right="38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General Partner of InCube Ventures II, L.P. and Rani Investment Corp. InCube Labs, L.L.C. is wholly-owned by the Reporting Person and his family. Represents 52,781 shares of Class A Common Stock of the Issuer held by InCube Ventures II, L.P., 13,664 shares of Class A Common Stock of the Issuer held by InCube Labs, L.L.C., and 7,694 Class A Shares held by Rani Investment Corp. The Reporting Person disclaims beneficial ownership of these securities except to the extent of his pecuniary interest therein.</w:t>
      </w:r>
    </w:p>
    <w:p>
      <w:pPr>
        <w:spacing w:after="0" w:line="27" w:lineRule="exact"/>
        <w:rPr>
          <w:rFonts w:ascii="Times New Roman" w:cs="Times New Roman" w:eastAsia="Times New Roman" w:hAnsi="Times New Roman"/>
          <w:sz w:val="13"/>
          <w:szCs w:val="13"/>
          <w:color w:val="008000"/>
        </w:rPr>
      </w:pPr>
    </w:p>
    <w:p>
      <w:pPr>
        <w:ind w:left="40" w:right="48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General Partner of Rani Investment Corp. Represents 7,694 LLC Units previously held by Rani Investment Corp. The Reporting Person disclaims beneficial ownership of these securities except to the extent of his pecuniary interest therein.</w:t>
      </w:r>
    </w:p>
    <w:p>
      <w:pPr>
        <w:spacing w:after="0" w:line="17" w:lineRule="exact"/>
        <w:rPr>
          <w:rFonts w:ascii="Times New Roman" w:cs="Times New Roman" w:eastAsia="Times New Roman" w:hAnsi="Times New Roman"/>
          <w:sz w:val="13"/>
          <w:szCs w:val="13"/>
          <w:color w:val="008000"/>
        </w:rPr>
      </w:pPr>
    </w:p>
    <w:p>
      <w:pPr>
        <w:ind w:left="40" w:right="540" w:firstLine="1"/>
        <w:spacing w:after="0" w:line="290" w:lineRule="auto"/>
        <w:tabs>
          <w:tab w:leader="none" w:pos="16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is a General Partner of InCube Ventures II, L.P., and InCube Labs, LLC is wholly-owned by the Reporting Person and his family. Represents 22,411,124 LLC Units Shares held by InCube Labs, LLC and 248,929 LLC Units held by InCube Ventures II, L.P. The Reporting Person disclaims beneficial ownership of these securities except to the extent of his pecuniary interest therein.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Josh Seidenfeld,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08/25/2022</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in-Fact for Mir A. Imran</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31686"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2022-08-25T20:24:48Z</dcterms:created>
  <dcterms:modified xsi:type="dcterms:W3CDTF">2022-08-25T20:24:48Z</dcterms:modified>
</cp:coreProperties>
</file>