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ani-20250528.htm"/>
      <w:bookmarkStart w:id="1" w:name="ksrani20250528"/>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sz w:val="20"/>
        </w:rPr>
      </w:pPr>
      <w:r>
        <w:rPr>
          <w:rFonts w:ascii="Times New Roman" w:hAnsi="Times New Roman"/>
          <w:b/>
          <w:color w:val="000000"/>
          <w:sz w:val="24"/>
        </w:rPr>
        <w:t>Pursuant to Section 13 or 15(d) of</w:t>
      </w:r>
      <w:r>
        <w:rPr>
          <w:rFonts w:ascii="Times New Roman" w:hAnsi="Times New Roman"/>
          <w:color w:val="000000"/>
          <w:sz w:val="20"/>
        </w:rPr>
        <w:t xml:space="preserve"> </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28,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Rani Therapeutics Holdings,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777" w:type="dxa"/>
        <w:jc w:val="left"/>
        <w:tblInd w:w="0" w:type="dxa"/>
        <w:tblLayout w:type="fixed"/>
        <w:tblCellMar>
          <w:top w:w="28" w:type="dxa"/>
          <w:left w:w="28" w:type="dxa"/>
          <w:bottom w:w="28" w:type="dxa"/>
          <w:right w:w="28" w:type="dxa"/>
        </w:tblCellMar>
      </w:tblPr>
      <w:tblGrid>
        <w:gridCol w:w="918"/>
        <w:gridCol w:w="835"/>
        <w:gridCol w:w="842"/>
        <w:gridCol w:w="1846"/>
        <w:gridCol w:w="1336"/>
      </w:tblGrid>
      <w:tr>
        <w:trPr/>
        <w:tc>
          <w:tcPr>
            <w:tcW w:w="91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001-40672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86-3114789</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2051 Ringwood Avenue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Jose,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95131</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(408)</w:t>
            </w:r>
            <w:r>
              <w:rPr>
                <w:rFonts w:ascii="Times New Roman" w:hAnsi="Times New Roman"/>
                <w:color w:val="000000"/>
                <w:sz w:val="20"/>
              </w:rPr>
              <w:t xml:space="preserve"> </w:t>
            </w:r>
            <w:r>
              <w:rPr>
                <w:rFonts w:ascii="Times New Roman" w:hAnsi="Times New Roman"/>
                <w:b/>
                <w:color w:val="000000"/>
                <w:sz w:val="20"/>
              </w:rPr>
              <w:t>457-3700</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355" w:type="dxa"/>
        <w:jc w:val="left"/>
        <w:tblInd w:w="0" w:type="dxa"/>
        <w:tblLayout w:type="fixed"/>
        <w:tblCellMar>
          <w:top w:w="28" w:type="dxa"/>
          <w:left w:w="28" w:type="dxa"/>
          <w:bottom w:w="28" w:type="dxa"/>
          <w:right w:w="28" w:type="dxa"/>
        </w:tblCellMar>
      </w:tblPr>
      <w:tblGrid>
        <w:gridCol w:w="4291"/>
        <w:gridCol w:w="146"/>
        <w:gridCol w:w="946"/>
        <w:gridCol w:w="146"/>
        <w:gridCol w:w="3826"/>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2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RANI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b/>
          <w:color w:val="000000"/>
          <w:sz w:val="20"/>
        </w:rPr>
      </w:pPr>
      <w:r>
        <w:rPr>
          <w:rFonts w:ascii="Times New Roman" w:hAnsi="Times New Roman"/>
          <w:b/>
          <w:color w:val="000000"/>
          <w:sz w:val="20"/>
        </w:rPr>
        <w:t>Item 5.07 Submission of Matters to a Vote of Security Holders.</w:t>
      </w:r>
    </w:p>
    <w:p>
      <w:pPr>
        <w:pStyle w:val="TextBody"/>
        <w:bidi w:val="0"/>
        <w:jc w:val="left"/>
        <w:rPr>
          <w:rFonts w:ascii="Times New Roman" w:hAnsi="Times New Roman"/>
          <w:color w:val="000000"/>
          <w:sz w:val="20"/>
        </w:rPr>
      </w:pPr>
      <w:r>
        <w:rPr>
          <w:rFonts w:ascii="Times New Roman" w:hAnsi="Times New Roman"/>
          <w:color w:val="000000"/>
          <w:sz w:val="20"/>
        </w:rPr>
        <w:t>On May 28, 2025, Rani Therapeutics Holdings, Inc. (the “Company”) held its annual meeting of stockholders (“Annual Meeting”). As of April 2, 2025, the record date for the Annual Meeting, there were 33,570,253 shares of Class A common stock outstanding and entitled to vote and 23,971,852 shares of Class B common stock outstanding and entitled to vote at the Annual Meeting. Holders of the Company’s Class A common stock are entitled to one vote per share and holders of the Company’s Class B common stock are entitled to ten votes per share. Holders of Class A common stock and Class B common stock voted together as a single class on all matters submitted to a vote of stockholders at the Annual Meeting.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is a summary of the matters voted on at the Annual Meeting based on the report of the voting results by the inspector of election. The Company’s Definitive Proxy Statement on Schedule 14A filed with the Securities and Exchange Commission on April 16, 2025 contains a description of the following proposals considered at the Annual Meeting, each of which were approved by the Company's stockholders at the Annual Meeting as set forth below: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The Company’s stockholders elected by a majority of votes cast the director nominees below, to hold office until the 2026 annual meeting of stockholders or until their successors are duly elected and qualified, as follows:</w:t>
      </w:r>
    </w:p>
    <w:p>
      <w:pPr>
        <w:pStyle w:val="TextBody"/>
        <w:bidi w:val="0"/>
        <w:jc w:val="left"/>
        <w:rPr/>
      </w:pPr>
      <w:r>
        <w:rPr/>
        <w:t> </w:t>
      </w:r>
    </w:p>
    <w:tbl>
      <w:tblPr>
        <w:tblW w:w="4909" w:type="dxa"/>
        <w:jc w:val="left"/>
        <w:tblInd w:w="0" w:type="dxa"/>
        <w:tblLayout w:type="fixed"/>
        <w:tblCellMar>
          <w:top w:w="28" w:type="dxa"/>
          <w:left w:w="28" w:type="dxa"/>
          <w:bottom w:w="28" w:type="dxa"/>
          <w:right w:w="28" w:type="dxa"/>
        </w:tblCellMar>
      </w:tblPr>
      <w:tblGrid>
        <w:gridCol w:w="1801"/>
        <w:gridCol w:w="1141"/>
        <w:gridCol w:w="886"/>
        <w:gridCol w:w="1081"/>
      </w:tblGrid>
      <w:tr>
        <w:trPr/>
        <w:tc>
          <w:tcPr>
            <w:tcW w:w="180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bottom w:w="29"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Withheld</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w:t>
              <w:br/>
              <w:t>Non-Votes</w:t>
            </w:r>
          </w:p>
        </w:tc>
      </w:tr>
      <w:tr>
        <w:trPr/>
        <w:tc>
          <w:tcPr>
            <w:tcW w:w="18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Talat Imran</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229,433,930</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334,922</w:t>
            </w:r>
          </w:p>
        </w:tc>
        <w:tc>
          <w:tcPr>
            <w:tcW w:w="10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10,013,425</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Mir Imran</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229,454,193</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314,659</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10,013,425</w:t>
            </w:r>
          </w:p>
        </w:tc>
      </w:tr>
      <w:tr>
        <w:trPr/>
        <w:tc>
          <w:tcPr>
            <w:tcW w:w="18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Dennis Ausiello</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229,437,610</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331,242</w:t>
            </w:r>
          </w:p>
        </w:tc>
        <w:tc>
          <w:tcPr>
            <w:tcW w:w="10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10,013,425</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Jean-Luc Butel</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229,437,221</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331,631</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10,013,425</w:t>
            </w:r>
          </w:p>
        </w:tc>
      </w:tr>
      <w:tr>
        <w:trPr/>
        <w:tc>
          <w:tcPr>
            <w:tcW w:w="18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Farquharson</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229,464,541</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304,311</w:t>
            </w:r>
          </w:p>
        </w:tc>
        <w:tc>
          <w:tcPr>
            <w:tcW w:w="10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10,013,425</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Malik Nanavaty</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229,462,349</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306,503</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10,013,425</w:t>
            </w:r>
          </w:p>
        </w:tc>
      </w:tr>
      <w:tr>
        <w:trPr/>
        <w:tc>
          <w:tcPr>
            <w:tcW w:w="18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Lisa Rometty</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229,410,427</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358,425</w:t>
            </w:r>
          </w:p>
        </w:tc>
        <w:tc>
          <w:tcPr>
            <w:tcW w:w="10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10,013,425</w:t>
            </w:r>
          </w:p>
        </w:tc>
      </w:tr>
    </w:tbl>
    <w:p>
      <w:pPr>
        <w:pStyle w:val="Heading2"/>
        <w:bidi w:val="0"/>
        <w:spacing w:before="360" w:after="120"/>
        <w:jc w:val="left"/>
        <w:rPr>
          <w:rFonts w:ascii="Times New Roman" w:hAnsi="Times New Roman"/>
          <w:color w:val="000000"/>
          <w:sz w:val="20"/>
        </w:rPr>
      </w:pPr>
      <w:r>
        <w:rPr>
          <w:rFonts w:ascii="Times New Roman" w:hAnsi="Times New Roman"/>
          <w:color w:val="000000"/>
          <w:sz w:val="20"/>
        </w:rPr>
        <w:t>2. The Company’s stockholders ratified the appointment of CBIZ CPAs P.C. as the Company's independent registered public accounting firm for the fiscal year ending December 31, 2025, as follows:</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283"/>
              <w:jc w:val="left"/>
              <w:rPr>
                <w:sz w:val="4"/>
                <w:szCs w:val="4"/>
              </w:rPr>
            </w:pPr>
            <w:r>
              <w:rPr>
                <w:sz w:val="4"/>
                <w:szCs w:val="4"/>
              </w:rPr>
            </w:r>
          </w:p>
        </w:tc>
      </w:tr>
      <w:tr>
        <w:trPr/>
        <w:tc>
          <w:tcPr>
            <w:tcW w:w="16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For: </w:t>
            </w:r>
            <w:r>
              <w:rPr>
                <w:rFonts w:ascii="Times New Roman" w:hAnsi="Times New Roman"/>
                <w:color w:val="000000"/>
                <w:sz w:val="20"/>
              </w:rPr>
              <w:t>238,547,675</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Against: </w:t>
            </w:r>
            <w:r>
              <w:rPr>
                <w:rFonts w:ascii="Times New Roman" w:hAnsi="Times New Roman"/>
                <w:color w:val="000000"/>
                <w:sz w:val="20"/>
              </w:rPr>
              <w:t>417,006</w:t>
            </w:r>
          </w:p>
        </w:tc>
      </w:tr>
      <w:tr>
        <w:trPr/>
        <w:tc>
          <w:tcPr>
            <w:tcW w:w="16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Abstain: </w:t>
            </w:r>
            <w:r>
              <w:rPr>
                <w:rFonts w:ascii="Times New Roman" w:hAnsi="Times New Roman"/>
                <w:color w:val="000000"/>
                <w:sz w:val="20"/>
              </w:rPr>
              <w:t>817,596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074" w:type="dxa"/>
        <w:jc w:val="left"/>
        <w:tblInd w:w="0" w:type="dxa"/>
        <w:tblLayout w:type="fixed"/>
        <w:tblCellMar>
          <w:top w:w="28" w:type="dxa"/>
          <w:left w:w="28" w:type="dxa"/>
          <w:bottom w:w="28" w:type="dxa"/>
          <w:right w:w="28" w:type="dxa"/>
        </w:tblCellMar>
      </w:tblPr>
      <w:tblGrid>
        <w:gridCol w:w="556"/>
        <w:gridCol w:w="1246"/>
        <w:gridCol w:w="451"/>
        <w:gridCol w:w="2821"/>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Rani Therapeutics Holdings,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29, 2025</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82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Svai Sanford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Svai Sanford</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669</Words>
  <Characters>3664</Characters>
  <CharactersWithSpaces>4297</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