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Sanford Svai 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Rani Therapeutics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RANI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RANI THERAPEUTICS LLC</w:t>
            </w:r>
          </w:p>
        </w:tc>
        <w:tc>
          <w:tcPr>
            <w:tcW w:w="2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09/09/2021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2051 RINGWOOD AVE.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106,200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106,200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subject to the restricted stock unit grant vest as follows: 50% of the RSUs shall vest on September 9, 2022, and 50% shall vest on September 9, 2023.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 Seidenfeld,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Svai Sanford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1411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2021-09-13T19:12:05Z</dcterms:created>
  <dcterms:modified xsi:type="dcterms:W3CDTF">2021-09-13T19:12:05Z</dcterms:modified>
</cp:coreProperties>
</file>