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Farquharson Andrew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Rani Therapeutics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RANI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RANI THERAPEUTICS LLC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02/03/2022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2051 RINGWOOD AVE.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02/03/2022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827,467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See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02/03/2022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66,127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(3)(4)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66,127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See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Biologix Partners, LP and VH Rani, LP. distributed these shares to its limited partners on a pro rata basis, for no consideration.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previously held 378,564 shares of Class A Common Stock of the Issuer ("Class A Shares") held by Biologix Partners, LP and 448,903 Class A Shares held by VH Rani, LP.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InCube Ventures II, L.P., is the limited partner of Biologix Partners, LP and VH Rani, LP. InCube Ventures II, L.P. therefore received 12,289 Class A Shares distributed by Biologix Partners, LP and 41,495 Class A Shares distributed by VH Rani, LP. and now owns those shares directly. The Reporting Person disclaims beneficial ownership of these securities except to the extent of his pecuniary interest therein.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VH Moll, L.P., is a limited partner of VH Rani, LP. VH Moll, L.P. therefore received 12,343 Class A Shares distributed by VH Rani, LP. and now owns those shares directly. The Reporting Person disclaims beneficial ownership of these securities except to the extent of his pecuniary interest therein.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Josh Seidenfeld,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7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7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Andrew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89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8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Farquharson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499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865699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2022-02-07T21:17:06Z</dcterms:created>
  <dcterms:modified xsi:type="dcterms:W3CDTF">2022-02-07T21:17:06Z</dcterms:modified>
</cp:coreProperties>
</file>