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171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Nanavaty Maulik</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Rani Therapeutics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RANI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Borders>
              <w:bottom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8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05/28/2025</w:t>
            </w:r>
          </w:p>
        </w:tc>
        <w:tc>
          <w:tcPr>
            <w:tcW w:w="10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RANI THERAPEUTICS LLC</w:t>
            </w:r>
          </w:p>
        </w:tc>
        <w:tc>
          <w:tcPr>
            <w:tcW w:w="1200" w:type="dxa"/>
            <w:vAlign w:val="bottom"/>
          </w:tcPr>
          <w:p>
            <w:pPr>
              <w:spacing w:after="0"/>
              <w:rPr>
                <w:sz w:val="10"/>
                <w:szCs w:val="10"/>
                <w:color w:val="auto"/>
              </w:rPr>
            </w:pPr>
          </w:p>
        </w:tc>
        <w:tc>
          <w:tcPr>
            <w:tcW w:w="2880" w:type="dxa"/>
            <w:vAlign w:val="bottom"/>
            <w:gridSpan w:val="3"/>
            <w:vMerge w:val="continue"/>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2051 RINGWOOD AVE.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7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95131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8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0.62</w:t>
            </w: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05/28/2025</w:t>
            </w:r>
          </w:p>
        </w:tc>
        <w:tc>
          <w:tcPr>
            <w:tcW w:w="1100" w:type="dxa"/>
            <w:vAlign w:val="bottom"/>
          </w:tcPr>
          <w:p>
            <w:pPr>
              <w:spacing w:after="0"/>
              <w:rPr>
                <w:sz w:val="12"/>
                <w:szCs w:val="12"/>
                <w:color w:val="auto"/>
              </w:rPr>
            </w:pPr>
          </w:p>
        </w:tc>
        <w:tc>
          <w:tcPr>
            <w:tcW w:w="7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05/27/2035</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Company's 2021 Equity Incentive Plan).</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Svai Sanford,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05/30/2025</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Maulik Nanavaty</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29708" TargetMode="External"/><Relationship Id="rId14"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2025-05-30T17:03:07Z</dcterms:created>
  <dcterms:modified xsi:type="dcterms:W3CDTF">2025-05-30T17:03:07Z</dcterms:modified>
</cp:coreProperties>
</file>